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9"/>
        <w:ind w:firstLine="0"/>
        <w:jc w:val="center"/>
        <w:rPr>
          <w:rFonts w:hint="eastAsia" w:eastAsia="黑体"/>
          <w:b/>
          <w:bCs/>
          <w:sz w:val="84"/>
        </w:rPr>
      </w:pPr>
    </w:p>
    <w:p>
      <w:pPr>
        <w:pStyle w:val="89"/>
        <w:ind w:firstLine="0"/>
        <w:jc w:val="center"/>
        <w:rPr>
          <w:rFonts w:eastAsia="黑体"/>
          <w:b/>
          <w:bCs/>
          <w:sz w:val="84"/>
        </w:rPr>
      </w:pPr>
      <w:r>
        <w:rPr>
          <w:rFonts w:hint="eastAsia" w:eastAsia="黑体"/>
          <w:b/>
          <w:bCs/>
          <w:sz w:val="84"/>
        </w:rPr>
        <w:t>评 选 文 件</w:t>
      </w:r>
      <w:r>
        <w:rPr>
          <w:rFonts w:hint="eastAsia" w:eastAsia="黑体"/>
          <w:b/>
          <w:bCs/>
          <w:sz w:val="84"/>
          <w:lang w:eastAsia="zh-CN"/>
        </w:rPr>
        <w:t>（</w:t>
      </w:r>
      <w:r>
        <w:rPr>
          <w:rFonts w:hint="eastAsia" w:eastAsia="黑体"/>
          <w:b/>
          <w:bCs/>
          <w:sz w:val="84"/>
          <w:lang w:val="en-US" w:eastAsia="zh-CN"/>
        </w:rPr>
        <w:t>更正稿</w:t>
      </w:r>
      <w:r>
        <w:rPr>
          <w:rFonts w:hint="eastAsia" w:eastAsia="黑体"/>
          <w:b/>
          <w:bCs/>
          <w:sz w:val="84"/>
          <w:lang w:eastAsia="zh-CN"/>
        </w:rPr>
        <w:t>）</w:t>
      </w:r>
    </w:p>
    <w:p>
      <w:pPr>
        <w:pStyle w:val="89"/>
        <w:ind w:firstLine="0"/>
        <w:jc w:val="center"/>
        <w:rPr>
          <w:rFonts w:eastAsia="黑体"/>
          <w:b/>
          <w:bCs/>
          <w:sz w:val="84"/>
        </w:rPr>
      </w:pPr>
    </w:p>
    <w:p>
      <w:pPr>
        <w:pStyle w:val="89"/>
        <w:ind w:firstLine="0"/>
        <w:jc w:val="center"/>
        <w:rPr>
          <w:b/>
          <w:bCs/>
          <w:sz w:val="36"/>
          <w:szCs w:val="36"/>
        </w:rPr>
      </w:pPr>
      <w:r>
        <w:rPr>
          <w:rFonts w:hint="eastAsia"/>
          <w:b/>
          <w:bCs/>
          <w:sz w:val="36"/>
          <w:szCs w:val="36"/>
        </w:rPr>
        <w:t>项目名称：江苏省机关事务管理局资金定期存放银行竞争性评选</w:t>
      </w: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32"/>
          <w:szCs w:val="32"/>
        </w:rPr>
      </w:pPr>
    </w:p>
    <w:p>
      <w:pPr>
        <w:pStyle w:val="89"/>
        <w:spacing w:before="0" w:after="0"/>
        <w:ind w:firstLine="0"/>
        <w:rPr>
          <w:rFonts w:ascii="宋体" w:hAnsi="宋体"/>
          <w:sz w:val="44"/>
          <w:szCs w:val="44"/>
        </w:rPr>
      </w:pPr>
    </w:p>
    <w:p>
      <w:pPr>
        <w:pStyle w:val="89"/>
        <w:spacing w:before="0" w:after="0"/>
        <w:ind w:firstLine="0"/>
        <w:rPr>
          <w:rFonts w:ascii="宋体" w:hAnsi="宋体"/>
          <w:sz w:val="44"/>
          <w:szCs w:val="44"/>
        </w:rPr>
      </w:pPr>
    </w:p>
    <w:p>
      <w:pPr>
        <w:pStyle w:val="89"/>
        <w:ind w:firstLine="0"/>
        <w:jc w:val="center"/>
        <w:rPr>
          <w:rFonts w:hint="eastAsia"/>
          <w:b/>
          <w:bCs/>
          <w:sz w:val="36"/>
          <w:szCs w:val="36"/>
        </w:rPr>
      </w:pPr>
    </w:p>
    <w:p>
      <w:pPr>
        <w:pStyle w:val="89"/>
        <w:ind w:firstLine="0"/>
        <w:jc w:val="center"/>
        <w:rPr>
          <w:b/>
          <w:bCs/>
          <w:sz w:val="36"/>
          <w:szCs w:val="36"/>
        </w:rPr>
      </w:pPr>
    </w:p>
    <w:p>
      <w:pPr>
        <w:pStyle w:val="89"/>
        <w:ind w:firstLine="0"/>
        <w:jc w:val="center"/>
        <w:rPr>
          <w:b/>
          <w:bCs/>
          <w:sz w:val="36"/>
          <w:szCs w:val="36"/>
        </w:rPr>
      </w:pPr>
      <w:r>
        <w:rPr>
          <w:rFonts w:hint="eastAsia"/>
          <w:b/>
          <w:bCs/>
          <w:sz w:val="36"/>
          <w:szCs w:val="36"/>
        </w:rPr>
        <w:t>江苏省政府采购</w:t>
      </w:r>
      <w:r>
        <w:rPr>
          <w:b/>
          <w:bCs/>
          <w:sz w:val="36"/>
          <w:szCs w:val="36"/>
        </w:rPr>
        <w:t>中心</w:t>
      </w:r>
    </w:p>
    <w:p>
      <w:pPr>
        <w:pStyle w:val="26"/>
        <w:jc w:val="center"/>
        <w:rPr>
          <w:sz w:val="36"/>
          <w:szCs w:val="36"/>
        </w:rPr>
      </w:pPr>
      <w:r>
        <w:rPr>
          <w:rFonts w:hint="eastAsia" w:hAnsi="宋体"/>
          <w:sz w:val="36"/>
          <w:szCs w:val="36"/>
        </w:rPr>
        <w:t>2021年11月1</w:t>
      </w:r>
      <w:r>
        <w:rPr>
          <w:rFonts w:hint="eastAsia" w:hAnsi="宋体"/>
          <w:sz w:val="36"/>
          <w:szCs w:val="36"/>
          <w:lang w:val="en-US" w:eastAsia="zh-CN"/>
        </w:rPr>
        <w:t>5</w:t>
      </w:r>
      <w:r>
        <w:rPr>
          <w:rFonts w:hint="eastAsia" w:hAnsi="宋体"/>
          <w:sz w:val="36"/>
          <w:szCs w:val="36"/>
        </w:rPr>
        <w:t>日</w:t>
      </w:r>
    </w:p>
    <w:p>
      <w:pPr>
        <w:pStyle w:val="89"/>
        <w:ind w:firstLine="0"/>
        <w:jc w:val="center"/>
      </w:pPr>
    </w:p>
    <w:p>
      <w:pPr>
        <w:spacing w:line="480" w:lineRule="auto"/>
        <w:jc w:val="center"/>
        <w:outlineLvl w:val="0"/>
        <w:rPr>
          <w:rFonts w:ascii="黑体" w:hAnsi="Arial" w:eastAsia="黑体"/>
          <w:b/>
          <w:sz w:val="44"/>
        </w:rPr>
      </w:pPr>
      <w:r>
        <w:br w:type="page"/>
      </w:r>
      <w:bookmarkStart w:id="0" w:name="_Toc120614210"/>
      <w:bookmarkStart w:id="1" w:name="_Toc16938516"/>
      <w:bookmarkStart w:id="2" w:name="_Toc513029200"/>
      <w:bookmarkStart w:id="3" w:name="_Toc479757206"/>
      <w:bookmarkStart w:id="4" w:name="_Toc523127445"/>
      <w:bookmarkStart w:id="5" w:name="_Toc20823272"/>
      <w:r>
        <w:rPr>
          <w:rFonts w:hint="eastAsia" w:ascii="黑体" w:hAnsi="Arial" w:eastAsia="黑体"/>
          <w:b/>
          <w:sz w:val="44"/>
        </w:rPr>
        <w:t>总  目  录</w:t>
      </w:r>
    </w:p>
    <w:p>
      <w:pPr>
        <w:spacing w:line="480" w:lineRule="auto"/>
        <w:rPr>
          <w:rFonts w:ascii="仿宋_GB2312" w:hAnsi="Arial" w:eastAsia="仿宋_GB2312"/>
          <w:b/>
          <w:sz w:val="28"/>
        </w:rPr>
      </w:pPr>
    </w:p>
    <w:p>
      <w:pPr>
        <w:numPr>
          <w:ilvl w:val="0"/>
          <w:numId w:val="4"/>
        </w:numPr>
        <w:spacing w:line="480" w:lineRule="auto"/>
        <w:outlineLvl w:val="0"/>
        <w:rPr>
          <w:rFonts w:ascii="黑体" w:hAnsi="Showcard Gothic" w:eastAsia="黑体"/>
          <w:sz w:val="32"/>
        </w:rPr>
      </w:pPr>
      <w:r>
        <w:rPr>
          <w:rFonts w:hint="eastAsia" w:ascii="黑体" w:hAnsi="宋体" w:eastAsia="黑体"/>
          <w:sz w:val="36"/>
        </w:rPr>
        <w:t>评选公告</w:t>
      </w:r>
      <w:r>
        <w:rPr>
          <w:rFonts w:hint="eastAsia" w:ascii="黑体" w:hAnsi="Showcard Gothic" w:eastAsia="黑体"/>
          <w:sz w:val="36"/>
        </w:rPr>
        <w:t>……………………………………2</w:t>
      </w:r>
    </w:p>
    <w:p>
      <w:pPr>
        <w:numPr>
          <w:ilvl w:val="0"/>
          <w:numId w:val="4"/>
        </w:numPr>
        <w:spacing w:line="480" w:lineRule="auto"/>
        <w:outlineLvl w:val="0"/>
        <w:rPr>
          <w:rFonts w:ascii="黑体" w:hAnsi="Showcard Gothic" w:eastAsia="黑体"/>
          <w:sz w:val="36"/>
        </w:rPr>
      </w:pPr>
      <w:r>
        <w:rPr>
          <w:rFonts w:hint="eastAsia" w:ascii="黑体" w:hAnsi="宋体" w:eastAsia="黑体"/>
          <w:bCs/>
          <w:sz w:val="36"/>
          <w:szCs w:val="36"/>
        </w:rPr>
        <w:t>报名银行须知</w:t>
      </w:r>
      <w:r>
        <w:rPr>
          <w:rFonts w:hint="eastAsia" w:ascii="黑体" w:hAnsi="Showcard Gothic" w:eastAsia="黑体"/>
          <w:sz w:val="36"/>
          <w:szCs w:val="36"/>
        </w:rPr>
        <w:t>…</w:t>
      </w:r>
      <w:r>
        <w:rPr>
          <w:rFonts w:hint="eastAsia" w:ascii="黑体" w:hAnsi="Showcard Gothic" w:eastAsia="黑体"/>
          <w:sz w:val="36"/>
        </w:rPr>
        <w:t>……………………………5</w:t>
      </w:r>
    </w:p>
    <w:p>
      <w:pPr>
        <w:numPr>
          <w:ilvl w:val="0"/>
          <w:numId w:val="4"/>
        </w:numPr>
        <w:spacing w:line="480" w:lineRule="auto"/>
        <w:outlineLvl w:val="0"/>
        <w:rPr>
          <w:rFonts w:ascii="黑体" w:hAnsi="Showcard Gothic" w:eastAsia="黑体"/>
          <w:sz w:val="36"/>
        </w:rPr>
      </w:pPr>
      <w:r>
        <w:rPr>
          <w:rFonts w:hint="eastAsia" w:ascii="黑体" w:hAnsi="Showcard Gothic" w:eastAsia="黑体"/>
          <w:sz w:val="36"/>
        </w:rPr>
        <w:t>合同文本</w:t>
      </w:r>
      <w:r>
        <w:rPr>
          <w:rFonts w:hint="eastAsia" w:ascii="黑体" w:hAnsi="Showcard Gothic" w:eastAsia="黑体"/>
          <w:sz w:val="36"/>
          <w:szCs w:val="36"/>
        </w:rPr>
        <w:t>…</w:t>
      </w:r>
      <w:r>
        <w:rPr>
          <w:rFonts w:hint="eastAsia" w:ascii="黑体" w:hAnsi="Showcard Gothic" w:eastAsia="黑体"/>
          <w:sz w:val="36"/>
        </w:rPr>
        <w:t>…………………………………10</w:t>
      </w:r>
    </w:p>
    <w:p>
      <w:pPr>
        <w:numPr>
          <w:ilvl w:val="0"/>
          <w:numId w:val="4"/>
        </w:numPr>
        <w:spacing w:line="480" w:lineRule="auto"/>
        <w:outlineLvl w:val="0"/>
        <w:rPr>
          <w:rFonts w:ascii="黑体" w:hAnsi="Showcard Gothic" w:eastAsia="黑体"/>
          <w:sz w:val="36"/>
        </w:rPr>
      </w:pPr>
      <w:r>
        <w:rPr>
          <w:rFonts w:hint="eastAsia" w:ascii="黑体" w:hAnsi="宋体" w:eastAsia="黑体"/>
          <w:sz w:val="36"/>
        </w:rPr>
        <w:t>项目需求</w:t>
      </w:r>
      <w:r>
        <w:rPr>
          <w:rFonts w:hint="eastAsia" w:ascii="黑体" w:hAnsi="Showcard Gothic" w:eastAsia="黑体"/>
          <w:sz w:val="36"/>
        </w:rPr>
        <w:t>……………………………………13</w:t>
      </w:r>
    </w:p>
    <w:p>
      <w:pPr>
        <w:numPr>
          <w:ilvl w:val="0"/>
          <w:numId w:val="4"/>
        </w:numPr>
        <w:spacing w:line="480" w:lineRule="auto"/>
        <w:outlineLvl w:val="0"/>
        <w:rPr>
          <w:rFonts w:ascii="黑体" w:hAnsi="Showcard Gothic" w:eastAsia="黑体"/>
          <w:sz w:val="36"/>
        </w:rPr>
      </w:pPr>
      <w:r>
        <w:rPr>
          <w:rFonts w:hint="eastAsia" w:ascii="黑体" w:hAnsi="宋体" w:eastAsia="黑体"/>
          <w:bCs/>
          <w:sz w:val="36"/>
          <w:szCs w:val="36"/>
        </w:rPr>
        <w:t>评选方法与评选标准</w:t>
      </w:r>
      <w:r>
        <w:rPr>
          <w:rFonts w:hint="eastAsia" w:ascii="黑体" w:hAnsi="Showcard Gothic" w:eastAsia="黑体"/>
          <w:sz w:val="36"/>
        </w:rPr>
        <w:t>………………………15</w:t>
      </w:r>
    </w:p>
    <w:p>
      <w:pPr>
        <w:numPr>
          <w:ilvl w:val="0"/>
          <w:numId w:val="4"/>
        </w:numPr>
        <w:spacing w:line="480" w:lineRule="auto"/>
        <w:outlineLvl w:val="0"/>
        <w:rPr>
          <w:rFonts w:ascii="黑体" w:hAnsi="Showcard Gothic" w:eastAsia="黑体"/>
          <w:sz w:val="36"/>
        </w:rPr>
      </w:pPr>
      <w:r>
        <w:rPr>
          <w:rFonts w:hint="eastAsia" w:ascii="黑体" w:hAnsi="宋体" w:eastAsia="黑体"/>
          <w:sz w:val="36"/>
        </w:rPr>
        <w:t>响应文件格式</w:t>
      </w:r>
      <w:r>
        <w:rPr>
          <w:rFonts w:hint="eastAsia" w:ascii="黑体" w:hAnsi="Showcard Gothic" w:eastAsia="黑体"/>
          <w:sz w:val="36"/>
        </w:rPr>
        <w:t>………………………………20</w:t>
      </w:r>
    </w:p>
    <w:p/>
    <w:p/>
    <w:p/>
    <w:p/>
    <w:p/>
    <w:p/>
    <w:p/>
    <w:p/>
    <w:p/>
    <w:p/>
    <w:p/>
    <w:p/>
    <w:p/>
    <w:p/>
    <w:p/>
    <w:p/>
    <w:p/>
    <w:p/>
    <w:p/>
    <w:p/>
    <w:p/>
    <w:p/>
    <w:p/>
    <w:p/>
    <w:p/>
    <w:p/>
    <w:p/>
    <w:p/>
    <w:p/>
    <w:p/>
    <w:p/>
    <w:p>
      <w:pPr>
        <w:pStyle w:val="2"/>
        <w:rPr>
          <w:rFonts w:ascii="黑体" w:eastAsia="黑体"/>
          <w:bCs/>
          <w:sz w:val="44"/>
          <w:szCs w:val="44"/>
        </w:rPr>
      </w:pPr>
      <w:r>
        <w:rPr>
          <w:rFonts w:hint="eastAsia" w:ascii="黑体" w:eastAsia="黑体"/>
          <w:sz w:val="44"/>
          <w:szCs w:val="44"/>
        </w:rPr>
        <w:t xml:space="preserve">第一章  </w:t>
      </w:r>
      <w:bookmarkEnd w:id="0"/>
      <w:r>
        <w:rPr>
          <w:rFonts w:hint="eastAsia" w:ascii="黑体" w:eastAsia="黑体"/>
          <w:sz w:val="44"/>
          <w:szCs w:val="44"/>
        </w:rPr>
        <w:t>评选公告</w:t>
      </w:r>
    </w:p>
    <w:p>
      <w:pPr>
        <w:pStyle w:val="89"/>
        <w:ind w:firstLine="0"/>
        <w:rPr>
          <w:rFonts w:ascii="宋体" w:hAnsi="宋体"/>
          <w:bCs/>
        </w:rPr>
      </w:pPr>
      <w:r>
        <w:rPr>
          <w:rFonts w:hint="eastAsia" w:ascii="宋体" w:hAnsi="宋体"/>
          <w:bCs/>
        </w:rPr>
        <w:t xml:space="preserve">    江苏省政府采购中心受</w:t>
      </w:r>
      <w:r>
        <w:rPr>
          <w:rFonts w:hint="eastAsia"/>
          <w:szCs w:val="21"/>
        </w:rPr>
        <w:t>江苏省机关事务管理局</w:t>
      </w:r>
      <w:r>
        <w:rPr>
          <w:rFonts w:hint="eastAsia" w:ascii="宋体" w:hAnsi="宋体"/>
          <w:bCs/>
        </w:rPr>
        <w:t>（评选委托方）的委托，决定就其</w:t>
      </w:r>
      <w:r>
        <w:rPr>
          <w:rFonts w:hint="eastAsia"/>
          <w:szCs w:val="21"/>
        </w:rPr>
        <w:t>资金定期存放银行竞争性评选</w:t>
      </w:r>
      <w:r>
        <w:rPr>
          <w:rFonts w:hint="eastAsia" w:ascii="宋体" w:hAnsi="宋体"/>
          <w:bCs/>
        </w:rPr>
        <w:t>项目组织评选，现邀请符合报名资格的银行前来报名参与评选（以下简称报名银行）。</w:t>
      </w:r>
    </w:p>
    <w:p>
      <w:pPr>
        <w:tabs>
          <w:tab w:val="left" w:pos="900"/>
        </w:tabs>
        <w:spacing w:line="560" w:lineRule="exact"/>
        <w:ind w:firstLine="482" w:firstLineChars="200"/>
        <w:rPr>
          <w:rFonts w:ascii="宋体" w:hAnsi="宋体"/>
          <w:b/>
          <w:bCs/>
          <w:sz w:val="24"/>
        </w:rPr>
      </w:pPr>
      <w:r>
        <w:rPr>
          <w:rFonts w:hint="eastAsia" w:ascii="宋体" w:hAnsi="宋体"/>
          <w:b/>
          <w:bCs/>
          <w:sz w:val="24"/>
        </w:rPr>
        <w:t>一、项目名称</w:t>
      </w:r>
    </w:p>
    <w:p>
      <w:pPr>
        <w:tabs>
          <w:tab w:val="left" w:pos="900"/>
        </w:tabs>
        <w:spacing w:line="560" w:lineRule="exact"/>
        <w:ind w:firstLine="480" w:firstLineChars="200"/>
        <w:rPr>
          <w:rFonts w:ascii="Arial" w:hAnsi="Arial"/>
          <w:kern w:val="0"/>
          <w:sz w:val="24"/>
        </w:rPr>
      </w:pPr>
      <w:r>
        <w:rPr>
          <w:rFonts w:hint="eastAsia" w:ascii="宋体" w:hAnsi="宋体"/>
          <w:bCs/>
          <w:kern w:val="0"/>
          <w:sz w:val="24"/>
          <w:szCs w:val="24"/>
        </w:rPr>
        <w:t xml:space="preserve">   </w:t>
      </w:r>
      <w:r>
        <w:rPr>
          <w:rFonts w:hint="eastAsia" w:ascii="Arial" w:hAnsi="Arial"/>
          <w:kern w:val="0"/>
          <w:sz w:val="24"/>
        </w:rPr>
        <w:t xml:space="preserve"> 项目名称：江苏省机关事务管理局资金定期存放银行竞争性评选</w:t>
      </w:r>
    </w:p>
    <w:p>
      <w:pPr>
        <w:tabs>
          <w:tab w:val="left" w:pos="900"/>
        </w:tabs>
        <w:spacing w:line="560" w:lineRule="exact"/>
        <w:ind w:firstLine="482" w:firstLineChars="200"/>
        <w:rPr>
          <w:rFonts w:ascii="宋体" w:hAnsi="宋体"/>
          <w:b/>
          <w:bCs/>
          <w:sz w:val="24"/>
        </w:rPr>
      </w:pPr>
      <w:r>
        <w:rPr>
          <w:rFonts w:hint="eastAsia" w:ascii="宋体" w:hAnsi="宋体"/>
          <w:b/>
          <w:bCs/>
          <w:sz w:val="24"/>
        </w:rPr>
        <w:t>二、项目简要说明和预计资金额度</w:t>
      </w:r>
    </w:p>
    <w:p>
      <w:pPr>
        <w:tabs>
          <w:tab w:val="left" w:pos="900"/>
        </w:tabs>
        <w:spacing w:line="560" w:lineRule="exact"/>
        <w:ind w:firstLine="600" w:firstLineChars="250"/>
        <w:rPr>
          <w:rFonts w:ascii="宋体" w:hAnsi="宋体"/>
          <w:bCs/>
          <w:sz w:val="24"/>
        </w:rPr>
      </w:pPr>
      <w:r>
        <w:rPr>
          <w:rFonts w:hint="eastAsia" w:ascii="宋体" w:hAnsi="宋体"/>
          <w:bCs/>
          <w:sz w:val="24"/>
        </w:rPr>
        <w:t>（一）项目简要说明</w:t>
      </w:r>
    </w:p>
    <w:p>
      <w:pPr>
        <w:ind w:firstLine="480" w:firstLineChars="200"/>
        <w:rPr>
          <w:rFonts w:ascii="宋体" w:hAnsi="宋体"/>
          <w:bCs/>
          <w:sz w:val="24"/>
        </w:rPr>
      </w:pPr>
      <w:r>
        <w:rPr>
          <w:rFonts w:hint="eastAsia" w:ascii="宋体" w:hAnsi="宋体"/>
          <w:bCs/>
          <w:sz w:val="24"/>
        </w:rPr>
        <w:t>根据《省财政厅关于转发财政部关于进一步加强地方财政部门和预算单位资金存放管理的通知》（苏财库[2018]46号）精神，规范存放行为，防范廉政风险，提高资金综合效益，结合工作实际，做好本局存量资金存放管理工作。</w:t>
      </w:r>
    </w:p>
    <w:p>
      <w:pPr>
        <w:ind w:firstLine="480" w:firstLineChars="200"/>
        <w:rPr>
          <w:rFonts w:ascii="宋体" w:hAnsi="宋体"/>
          <w:bCs/>
          <w:sz w:val="24"/>
        </w:rPr>
      </w:pPr>
      <w:r>
        <w:rPr>
          <w:rFonts w:hint="eastAsia" w:ascii="宋体" w:hAnsi="宋体"/>
          <w:bCs/>
          <w:sz w:val="24"/>
        </w:rPr>
        <w:t>（1）竞争性存放资金范围。江苏省机关事务管理局局机关及局属单位需要转存定期的存量资金，资金总金额</w:t>
      </w:r>
      <w:r>
        <w:rPr>
          <w:rFonts w:ascii="宋体" w:hAnsi="宋体"/>
          <w:bCs/>
          <w:sz w:val="24"/>
        </w:rPr>
        <w:t>3.</w:t>
      </w:r>
      <w:r>
        <w:rPr>
          <w:rFonts w:hint="eastAsia" w:ascii="宋体" w:hAnsi="宋体"/>
          <w:bCs/>
          <w:sz w:val="24"/>
        </w:rPr>
        <w:t>2亿元。局机关的省级机关住房基金、资金中心的住房公积金除外。</w:t>
      </w:r>
    </w:p>
    <w:p>
      <w:pPr>
        <w:ind w:firstLine="480" w:firstLineChars="200"/>
        <w:rPr>
          <w:rFonts w:hAnsi="宋体"/>
          <w:sz w:val="24"/>
        </w:rPr>
      </w:pPr>
      <w:r>
        <w:rPr>
          <w:rFonts w:hint="eastAsia" w:ascii="宋体" w:hAnsi="宋体"/>
          <w:bCs/>
          <w:sz w:val="24"/>
        </w:rPr>
        <w:t>（2）本项目是在江苏省机关事务管理局局机关及局属单位截止2021年6月30日已开设活期账户或定期账户、2020年度代理江苏省级财政业务的金融机构的范围内组织竞争性评选。</w:t>
      </w:r>
    </w:p>
    <w:p>
      <w:pPr>
        <w:ind w:firstLine="480" w:firstLineChars="200"/>
        <w:rPr>
          <w:rFonts w:hAnsi="宋体"/>
          <w:sz w:val="24"/>
        </w:rPr>
      </w:pPr>
      <w:r>
        <w:rPr>
          <w:rFonts w:hint="eastAsia" w:hAnsi="宋体"/>
          <w:sz w:val="24"/>
        </w:rPr>
        <w:t>本期资金竞争性存放运行期限为自合同签订之日起一年。</w:t>
      </w:r>
    </w:p>
    <w:p>
      <w:pPr>
        <w:tabs>
          <w:tab w:val="left" w:pos="900"/>
        </w:tabs>
        <w:spacing w:line="560" w:lineRule="exact"/>
        <w:ind w:firstLine="480" w:firstLineChars="200"/>
        <w:rPr>
          <w:rFonts w:ascii="宋体" w:hAnsi="宋体"/>
          <w:bCs/>
          <w:sz w:val="24"/>
        </w:rPr>
      </w:pPr>
      <w:r>
        <w:rPr>
          <w:rFonts w:hint="eastAsia" w:ascii="宋体" w:hAnsi="宋体"/>
          <w:bCs/>
          <w:sz w:val="24"/>
        </w:rPr>
        <w:t>（二）项目预计资金额度</w:t>
      </w:r>
    </w:p>
    <w:p>
      <w:pPr>
        <w:tabs>
          <w:tab w:val="left" w:pos="900"/>
        </w:tabs>
        <w:spacing w:line="560" w:lineRule="exact"/>
        <w:ind w:firstLine="480" w:firstLineChars="200"/>
        <w:rPr>
          <w:rFonts w:hAnsi="宋体"/>
          <w:i/>
          <w:iCs/>
          <w:sz w:val="24"/>
          <w:u w:val="single"/>
        </w:rPr>
      </w:pPr>
      <w:r>
        <w:rPr>
          <w:rFonts w:hint="eastAsia" w:hAnsi="宋体"/>
          <w:sz w:val="24"/>
        </w:rPr>
        <w:t>本次项目预计金额约3.2亿元，具体以实际资金情况为准。</w:t>
      </w:r>
      <w:r>
        <w:rPr>
          <w:rFonts w:hint="eastAsia" w:ascii="宋体" w:hAnsi="宋体"/>
          <w:b/>
          <w:bCs/>
          <w:i/>
          <w:sz w:val="24"/>
          <w:u w:val="single"/>
        </w:rPr>
        <w:t>本项目响应利率报价为报名银行响应时所报的一年期及一年期以下定期存款利率报价</w:t>
      </w:r>
      <w:r>
        <w:rPr>
          <w:rFonts w:hint="eastAsia" w:ascii="宋体" w:hAnsi="宋体"/>
          <w:b/>
          <w:bCs/>
          <w:i/>
          <w:sz w:val="24"/>
          <w:u w:val="single"/>
        </w:rPr>
        <w:t>（不接受大额存单等存款类金融产品），各报名银行响应时所报的定期存款利率上浮幅度不得低于人民银行公布的一年期及一年期以下定期存款基准利率加50BP，否则视为无效响应。</w:t>
      </w:r>
    </w:p>
    <w:p>
      <w:pPr>
        <w:tabs>
          <w:tab w:val="left" w:pos="900"/>
        </w:tabs>
        <w:spacing w:line="560" w:lineRule="exact"/>
        <w:ind w:firstLine="482" w:firstLineChars="200"/>
        <w:rPr>
          <w:rFonts w:ascii="宋体" w:hAnsi="宋体"/>
          <w:b/>
          <w:bCs/>
          <w:sz w:val="24"/>
        </w:rPr>
      </w:pPr>
      <w:r>
        <w:rPr>
          <w:rFonts w:hint="eastAsia" w:ascii="宋体" w:hAnsi="宋体"/>
          <w:b/>
          <w:bCs/>
          <w:sz w:val="24"/>
        </w:rPr>
        <w:t>三、本期资金定期存放竞争性评选的报名银行范围</w:t>
      </w:r>
    </w:p>
    <w:p>
      <w:pPr>
        <w:snapToGrid w:val="0"/>
        <w:spacing w:line="560" w:lineRule="exact"/>
        <w:ind w:left="479" w:leftChars="228"/>
        <w:rPr>
          <w:rFonts w:ascii="宋体" w:hAnsi="宋体"/>
          <w:bCs/>
          <w:sz w:val="24"/>
        </w:rPr>
      </w:pPr>
      <w:r>
        <w:rPr>
          <w:rFonts w:hint="eastAsia" w:ascii="仿宋_GB2312" w:hAnsi="宋体" w:cs="Arial"/>
          <w:sz w:val="24"/>
        </w:rPr>
        <w:t>（</w:t>
      </w:r>
      <w:r>
        <w:rPr>
          <w:rFonts w:hint="eastAsia" w:ascii="宋体" w:hAnsi="宋体"/>
          <w:sz w:val="24"/>
        </w:rPr>
        <w:t>一） 报名银行范围：</w:t>
      </w:r>
      <w:r>
        <w:rPr>
          <w:rFonts w:hint="eastAsia" w:ascii="宋体" w:hAnsi="宋体"/>
          <w:bCs/>
          <w:sz w:val="24"/>
        </w:rPr>
        <w:t>江苏省机关事务管理局局机关及局属单位已截止2021年6月30日开设活期账户或定期账户、2020年度代理江苏省级财政业务的金融机构参加竞争。具体为中国建设银行股份有限公司江苏省分行、交通银行股份有限公司江苏省分行、中国工商银行股份有限公司江苏省分行、光大银行股份有限公司南京分行、华夏银行股份有限公司南京分行、招商银行股份有限公司南京分行、上海浦发银行股份有限公司南京分行、南京银行股份有限公司、中信银行股份有限公司南京分行、江苏银行股份有限公司、中国农业发展银行江苏省分行、</w:t>
      </w:r>
      <w:r>
        <w:rPr>
          <w:rFonts w:hint="eastAsia" w:ascii="宋体" w:hAnsi="宋体"/>
          <w:bCs/>
          <w:sz w:val="24"/>
          <w:lang w:val="en-US" w:eastAsia="zh-CN"/>
        </w:rPr>
        <w:t>中国银行股份有限公司江苏省分行、</w:t>
      </w:r>
      <w:r>
        <w:rPr>
          <w:rFonts w:hint="eastAsia" w:ascii="宋体" w:hAnsi="宋体"/>
          <w:bCs/>
          <w:sz w:val="24"/>
        </w:rPr>
        <w:t>中国农业银行股份有限公司江苏省分行、紫金农商行。（2020年度代理省级财政业务的金融机构见苏财库〔2021〕12号）（排名不分先后）</w:t>
      </w:r>
    </w:p>
    <w:p>
      <w:pPr>
        <w:snapToGrid w:val="0"/>
        <w:spacing w:line="560" w:lineRule="exact"/>
        <w:ind w:left="479" w:leftChars="228"/>
        <w:rPr>
          <w:rFonts w:ascii="宋体" w:hAnsi="宋体" w:cs="Arial"/>
          <w:sz w:val="24"/>
          <w:szCs w:val="20"/>
        </w:rPr>
      </w:pPr>
      <w:r>
        <w:rPr>
          <w:rFonts w:hint="eastAsia" w:ascii="仿宋_GB2312" w:hAnsi="宋体" w:cs="Arial"/>
          <w:sz w:val="24"/>
        </w:rPr>
        <w:t>（二）</w:t>
      </w:r>
      <w:r>
        <w:rPr>
          <w:rFonts w:ascii="仿宋_GB2312" w:hAnsi="宋体" w:cs="Arial"/>
          <w:sz w:val="24"/>
        </w:rPr>
        <w:t>本项目不接受联合体</w:t>
      </w:r>
      <w:r>
        <w:rPr>
          <w:rFonts w:hint="eastAsia" w:ascii="仿宋_GB2312" w:hAnsi="宋体" w:cs="Arial"/>
          <w:sz w:val="24"/>
        </w:rPr>
        <w:t>报名。</w:t>
      </w:r>
      <w:r>
        <w:rPr>
          <w:rFonts w:hint="eastAsia" w:ascii="宋体" w:hAnsi="宋体" w:cs="Arial"/>
          <w:sz w:val="24"/>
          <w:szCs w:val="20"/>
        </w:rPr>
        <w:t xml:space="preserve"> </w:t>
      </w:r>
    </w:p>
    <w:p>
      <w:pPr>
        <w:tabs>
          <w:tab w:val="left" w:pos="900"/>
        </w:tabs>
        <w:spacing w:line="560" w:lineRule="exact"/>
        <w:ind w:firstLine="482" w:firstLineChars="200"/>
        <w:rPr>
          <w:rFonts w:ascii="宋体" w:hAnsi="宋体"/>
          <w:b/>
          <w:bCs/>
          <w:sz w:val="24"/>
          <w:szCs w:val="24"/>
        </w:rPr>
      </w:pPr>
      <w:r>
        <w:rPr>
          <w:rFonts w:hint="eastAsia" w:ascii="宋体" w:hAnsi="宋体"/>
          <w:b/>
          <w:bCs/>
          <w:sz w:val="24"/>
          <w:szCs w:val="24"/>
        </w:rPr>
        <w:t>四、评选公告发布及评选文件领取信息</w:t>
      </w:r>
    </w:p>
    <w:p>
      <w:pPr>
        <w:tabs>
          <w:tab w:val="left" w:pos="900"/>
        </w:tabs>
        <w:spacing w:line="560" w:lineRule="exact"/>
        <w:ind w:firstLine="480" w:firstLineChars="200"/>
        <w:rPr>
          <w:rFonts w:ascii="宋体" w:hAnsi="宋体"/>
          <w:bCs/>
          <w:sz w:val="24"/>
          <w:szCs w:val="24"/>
        </w:rPr>
      </w:pPr>
      <w:r>
        <w:rPr>
          <w:rFonts w:hint="eastAsia" w:ascii="宋体" w:hAnsi="宋体"/>
          <w:bCs/>
          <w:sz w:val="24"/>
          <w:szCs w:val="24"/>
        </w:rPr>
        <w:t>评选文件发布时间为自评选公告在“江苏省机关事务管理局官网</w:t>
      </w:r>
      <w:r>
        <w:rPr>
          <w:rFonts w:ascii="宋体" w:hAnsi="宋体"/>
          <w:bCs/>
          <w:sz w:val="24"/>
          <w:szCs w:val="24"/>
        </w:rPr>
        <w:t>”</w:t>
      </w:r>
      <w:r>
        <w:rPr>
          <w:rFonts w:hint="eastAsia" w:ascii="宋体" w:hAnsi="宋体"/>
          <w:bCs/>
          <w:sz w:val="24"/>
          <w:szCs w:val="24"/>
        </w:rPr>
        <w:t>发布之日起至现场评选开始时间止。评选文件在“江苏省机关事务管理局官网”上免费下载，有关本次评选的事项若存在变动或修改，敬请及时关注“江苏省机关事务管理局官网”发布的信息更正公告。网址：</w:t>
      </w:r>
      <w:r>
        <w:fldChar w:fldCharType="begin"/>
      </w:r>
      <w:r>
        <w:instrText xml:space="preserve"> HYPERLINK "http://www.glj.jiangsu.gov.cn" </w:instrText>
      </w:r>
      <w:r>
        <w:fldChar w:fldCharType="separate"/>
      </w:r>
      <w:r>
        <w:rPr>
          <w:rStyle w:val="47"/>
          <w:rFonts w:hint="eastAsia" w:ascii="宋体" w:hAnsi="宋体"/>
          <w:bCs/>
          <w:sz w:val="24"/>
          <w:szCs w:val="24"/>
        </w:rPr>
        <w:t>www.glj.jiangsu.gov.cn</w:t>
      </w:r>
      <w:r>
        <w:rPr>
          <w:rStyle w:val="47"/>
          <w:rFonts w:hint="eastAsia" w:ascii="宋体" w:hAnsi="宋体"/>
          <w:bCs/>
          <w:sz w:val="24"/>
          <w:szCs w:val="24"/>
        </w:rPr>
        <w:fldChar w:fldCharType="end"/>
      </w:r>
      <w:r>
        <w:rPr>
          <w:rFonts w:hint="eastAsia" w:ascii="宋体" w:hAnsi="宋体"/>
          <w:bCs/>
          <w:sz w:val="24"/>
          <w:szCs w:val="24"/>
        </w:rPr>
        <w:t>。</w:t>
      </w:r>
    </w:p>
    <w:p>
      <w:pPr>
        <w:tabs>
          <w:tab w:val="left" w:pos="900"/>
        </w:tabs>
        <w:spacing w:line="560" w:lineRule="exact"/>
        <w:ind w:firstLine="482" w:firstLineChars="200"/>
        <w:rPr>
          <w:rFonts w:ascii="宋体" w:hAnsi="宋体"/>
          <w:b/>
          <w:bCs/>
          <w:sz w:val="24"/>
        </w:rPr>
      </w:pPr>
      <w:r>
        <w:rPr>
          <w:rFonts w:hint="eastAsia" w:ascii="宋体" w:hAnsi="宋体"/>
          <w:b/>
          <w:bCs/>
          <w:sz w:val="24"/>
        </w:rPr>
        <w:t>五、</w:t>
      </w:r>
      <w:r>
        <w:rPr>
          <w:rFonts w:hint="eastAsia" w:ascii="宋体" w:hAnsi="宋体"/>
          <w:b/>
          <w:bCs/>
          <w:sz w:val="24"/>
          <w:szCs w:val="24"/>
        </w:rPr>
        <w:t>响应文件</w:t>
      </w:r>
      <w:r>
        <w:rPr>
          <w:rFonts w:hint="eastAsia" w:ascii="宋体" w:hAnsi="宋体"/>
          <w:b/>
          <w:bCs/>
          <w:sz w:val="24"/>
        </w:rPr>
        <w:t>接收信息</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接收时间：2021年11月26日上午9﹕00﹣9﹕30</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接收截止时间：2021年11月26日上午9﹕30</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接收地点：南京市汉中门大街145号江苏省公共资源交易中心二期三楼开标室</w:t>
      </w:r>
    </w:p>
    <w:p>
      <w:pPr>
        <w:spacing w:line="560" w:lineRule="exact"/>
        <w:ind w:firstLine="480" w:firstLineChars="200"/>
        <w:rPr>
          <w:rFonts w:hAnsi="宋体"/>
          <w:sz w:val="24"/>
          <w:szCs w:val="24"/>
        </w:rPr>
      </w:pPr>
      <w:r>
        <w:rPr>
          <w:rFonts w:hint="eastAsia" w:ascii="宋体" w:hAnsi="宋体"/>
          <w:bCs/>
          <w:sz w:val="24"/>
          <w:szCs w:val="24"/>
        </w:rPr>
        <w:t>响应文件</w:t>
      </w:r>
      <w:r>
        <w:rPr>
          <w:rFonts w:hint="eastAsia" w:hAnsi="宋体"/>
          <w:sz w:val="24"/>
          <w:szCs w:val="24"/>
        </w:rPr>
        <w:t>接收人：李明姬</w:t>
      </w:r>
    </w:p>
    <w:p>
      <w:pPr>
        <w:tabs>
          <w:tab w:val="left" w:pos="900"/>
        </w:tabs>
        <w:spacing w:line="560" w:lineRule="exact"/>
        <w:ind w:firstLine="482" w:firstLineChars="200"/>
        <w:rPr>
          <w:rFonts w:ascii="宋体" w:hAnsi="宋体"/>
          <w:b/>
          <w:bCs/>
          <w:sz w:val="24"/>
        </w:rPr>
      </w:pPr>
      <w:r>
        <w:rPr>
          <w:rFonts w:hint="eastAsia" w:ascii="宋体" w:hAnsi="宋体"/>
          <w:b/>
          <w:bCs/>
          <w:sz w:val="24"/>
        </w:rPr>
        <w:t>六、答疑会和现场评选有关信息</w:t>
      </w:r>
    </w:p>
    <w:p>
      <w:pPr>
        <w:tabs>
          <w:tab w:val="left" w:pos="900"/>
        </w:tabs>
        <w:spacing w:line="560" w:lineRule="exact"/>
        <w:ind w:firstLine="482" w:firstLineChars="200"/>
        <w:rPr>
          <w:rFonts w:ascii="宋体" w:hAnsi="宋体"/>
          <w:b/>
          <w:bCs/>
          <w:sz w:val="24"/>
        </w:rPr>
      </w:pPr>
      <w:r>
        <w:rPr>
          <w:rFonts w:hint="eastAsia" w:ascii="宋体" w:hAnsi="宋体"/>
          <w:b/>
          <w:bCs/>
          <w:sz w:val="24"/>
        </w:rPr>
        <w:t>（一）本期评选答疑会及联系事项</w:t>
      </w:r>
    </w:p>
    <w:p>
      <w:pPr>
        <w:tabs>
          <w:tab w:val="left" w:pos="900"/>
        </w:tabs>
        <w:spacing w:line="560" w:lineRule="exact"/>
        <w:ind w:firstLine="482" w:firstLineChars="200"/>
        <w:rPr>
          <w:rFonts w:ascii="宋体" w:hAnsi="宋体"/>
          <w:b/>
          <w:bCs/>
          <w:sz w:val="24"/>
        </w:rPr>
      </w:pPr>
      <w:r>
        <w:rPr>
          <w:rFonts w:hint="eastAsia" w:ascii="宋体" w:hAnsi="宋体"/>
          <w:b/>
          <w:bCs/>
          <w:sz w:val="24"/>
        </w:rPr>
        <w:t>评选委托方不统一组织评选答疑，有需要的报名银行自行咨询。</w:t>
      </w:r>
    </w:p>
    <w:p>
      <w:pPr>
        <w:spacing w:line="560" w:lineRule="exact"/>
        <w:ind w:firstLine="480" w:firstLineChars="200"/>
        <w:rPr>
          <w:rFonts w:hAnsi="宋体"/>
          <w:sz w:val="24"/>
          <w:szCs w:val="24"/>
        </w:rPr>
      </w:pPr>
      <w:r>
        <w:rPr>
          <w:rFonts w:hint="eastAsia" w:hAnsi="宋体"/>
          <w:sz w:val="24"/>
          <w:szCs w:val="24"/>
        </w:rPr>
        <w:t>（二）现场评选有关信息</w:t>
      </w:r>
    </w:p>
    <w:p>
      <w:pPr>
        <w:spacing w:line="560" w:lineRule="exact"/>
        <w:ind w:firstLine="480" w:firstLineChars="200"/>
        <w:rPr>
          <w:rFonts w:ascii="宋体" w:hAnsi="宋体"/>
          <w:sz w:val="24"/>
        </w:rPr>
      </w:pPr>
      <w:r>
        <w:rPr>
          <w:rFonts w:hint="eastAsia" w:hAnsi="宋体"/>
          <w:sz w:val="24"/>
          <w:szCs w:val="24"/>
        </w:rPr>
        <w:t>现场评选时间：2021年11月26</w:t>
      </w:r>
      <w:r>
        <w:rPr>
          <w:rFonts w:hint="eastAsia" w:ascii="宋体" w:hAnsi="宋体"/>
          <w:sz w:val="24"/>
        </w:rPr>
        <w:t>日上午9：30</w:t>
      </w:r>
    </w:p>
    <w:p>
      <w:pPr>
        <w:spacing w:line="560" w:lineRule="exact"/>
        <w:ind w:firstLine="480" w:firstLineChars="200"/>
        <w:rPr>
          <w:rFonts w:ascii="宋体" w:hAnsi="宋体"/>
          <w:sz w:val="24"/>
        </w:rPr>
      </w:pPr>
      <w:r>
        <w:rPr>
          <w:rFonts w:hint="eastAsia" w:ascii="宋体" w:hAnsi="宋体"/>
          <w:sz w:val="24"/>
        </w:rPr>
        <w:t>现场评选地点：</w:t>
      </w:r>
      <w:r>
        <w:rPr>
          <w:rFonts w:hint="eastAsia" w:hAnsi="宋体"/>
          <w:sz w:val="24"/>
          <w:szCs w:val="24"/>
        </w:rPr>
        <w:t>南京市汉中门大街145号江苏省公共资源交易中心二期四楼评标室</w:t>
      </w:r>
    </w:p>
    <w:p>
      <w:pPr>
        <w:spacing w:line="560" w:lineRule="exact"/>
        <w:ind w:firstLine="480" w:firstLineChars="200"/>
        <w:rPr>
          <w:rFonts w:ascii="宋体" w:hAnsi="宋体"/>
          <w:sz w:val="24"/>
        </w:rPr>
      </w:pPr>
      <w:r>
        <w:rPr>
          <w:rFonts w:hint="eastAsia" w:ascii="宋体" w:hAnsi="宋体"/>
          <w:sz w:val="24"/>
        </w:rPr>
        <w:t>评选委托方：江苏省机关事务管理局</w:t>
      </w:r>
    </w:p>
    <w:p>
      <w:pPr>
        <w:spacing w:line="560" w:lineRule="exact"/>
        <w:ind w:firstLine="480" w:firstLineChars="200"/>
        <w:rPr>
          <w:rFonts w:ascii="宋体" w:hAnsi="宋体"/>
          <w:sz w:val="24"/>
        </w:rPr>
      </w:pPr>
      <w:r>
        <w:rPr>
          <w:rFonts w:hint="eastAsia" w:ascii="宋体" w:hAnsi="宋体"/>
          <w:sz w:val="24"/>
        </w:rPr>
        <w:t>评选委托方联系人：袁海健         评选委托方联系电话：025-83398640</w:t>
      </w:r>
    </w:p>
    <w:p>
      <w:pPr>
        <w:spacing w:line="560" w:lineRule="exact"/>
        <w:ind w:firstLine="480" w:firstLineChars="200"/>
        <w:rPr>
          <w:rFonts w:ascii="宋体" w:hAnsi="宋体"/>
          <w:sz w:val="24"/>
        </w:rPr>
      </w:pPr>
      <w:r>
        <w:rPr>
          <w:rFonts w:hint="eastAsia" w:ascii="宋体" w:hAnsi="宋体"/>
          <w:sz w:val="24"/>
        </w:rPr>
        <w:t>评选委托方联系地址: 南京市西康路47号</w:t>
      </w:r>
    </w:p>
    <w:p>
      <w:pPr>
        <w:spacing w:line="560" w:lineRule="exact"/>
        <w:ind w:firstLine="480" w:firstLineChars="200"/>
        <w:rPr>
          <w:rFonts w:ascii="宋体" w:hAnsi="宋体"/>
          <w:sz w:val="24"/>
        </w:rPr>
      </w:pPr>
      <w:r>
        <w:rPr>
          <w:rFonts w:hint="eastAsia" w:ascii="宋体" w:hAnsi="宋体"/>
          <w:sz w:val="24"/>
        </w:rPr>
        <w:t>江苏省政府采购中心地址：南京市汉中门大街145号江苏省公共资源交易</w:t>
      </w:r>
      <w:r>
        <w:rPr>
          <w:rFonts w:hint="eastAsia" w:hAnsi="宋体"/>
          <w:sz w:val="24"/>
          <w:szCs w:val="24"/>
        </w:rPr>
        <w:t>中心二期三楼</w:t>
      </w:r>
    </w:p>
    <w:p>
      <w:pPr>
        <w:spacing w:line="560" w:lineRule="exact"/>
        <w:ind w:firstLine="480" w:firstLineChars="200"/>
        <w:rPr>
          <w:rFonts w:ascii="宋体" w:hAnsi="宋体"/>
          <w:sz w:val="24"/>
        </w:rPr>
      </w:pPr>
      <w:r>
        <w:rPr>
          <w:rFonts w:hint="eastAsia" w:ascii="宋体" w:hAnsi="宋体"/>
          <w:sz w:val="24"/>
        </w:rPr>
        <w:t>采购中心联系人：李明姬               联系电话：025-83668508</w:t>
      </w:r>
    </w:p>
    <w:p>
      <w:pPr>
        <w:spacing w:line="560" w:lineRule="exact"/>
        <w:ind w:firstLine="480" w:firstLineChars="200"/>
        <w:rPr>
          <w:rFonts w:ascii="宋体" w:hAnsi="宋体"/>
          <w:b/>
          <w:bCs/>
          <w:sz w:val="24"/>
        </w:rPr>
      </w:pPr>
      <w:r>
        <w:rPr>
          <w:rFonts w:hint="eastAsia" w:ascii="黑体" w:hAnsi="黑体" w:eastAsia="黑体"/>
          <w:sz w:val="24"/>
          <w:szCs w:val="24"/>
        </w:rPr>
        <w:t>对项目需求部分的询问请向评选委托方提出，由评选委托方负责答复。</w:t>
      </w:r>
    </w:p>
    <w:p>
      <w:pPr>
        <w:adjustRightInd w:val="0"/>
        <w:snapToGrid w:val="0"/>
        <w:spacing w:line="560" w:lineRule="exact"/>
        <w:ind w:firstLine="482" w:firstLineChars="200"/>
        <w:rPr>
          <w:rFonts w:ascii="宋体" w:hAnsi="宋体"/>
          <w:b/>
          <w:bCs/>
          <w:sz w:val="24"/>
        </w:rPr>
      </w:pPr>
      <w:r>
        <w:rPr>
          <w:rFonts w:hint="eastAsia" w:ascii="宋体" w:hAnsi="宋体"/>
          <w:b/>
          <w:bCs/>
          <w:sz w:val="24"/>
        </w:rPr>
        <w:t>七、响应文件制作份数要求</w:t>
      </w:r>
    </w:p>
    <w:p>
      <w:pPr>
        <w:adjustRightInd w:val="0"/>
        <w:snapToGrid w:val="0"/>
        <w:spacing w:line="560" w:lineRule="exact"/>
        <w:ind w:firstLine="480" w:firstLineChars="200"/>
        <w:rPr>
          <w:rFonts w:ascii="宋体" w:hAnsi="宋体"/>
          <w:sz w:val="24"/>
        </w:rPr>
      </w:pPr>
      <w:r>
        <w:rPr>
          <w:rFonts w:hint="eastAsia" w:ascii="宋体" w:hAnsi="宋体"/>
          <w:sz w:val="24"/>
        </w:rPr>
        <w:t>份数：</w:t>
      </w:r>
      <w:r>
        <w:rPr>
          <w:rFonts w:ascii="宋体" w:hAnsi="宋体"/>
          <w:sz w:val="24"/>
        </w:rPr>
        <w:t>7</w:t>
      </w:r>
      <w:r>
        <w:rPr>
          <w:rFonts w:hint="eastAsia" w:ascii="宋体" w:hAnsi="宋体"/>
          <w:sz w:val="24"/>
        </w:rPr>
        <w:t>份</w:t>
      </w:r>
    </w:p>
    <w:p>
      <w:pPr>
        <w:spacing w:line="560" w:lineRule="exact"/>
        <w:ind w:firstLine="482" w:firstLineChars="200"/>
        <w:rPr>
          <w:rFonts w:ascii="宋体" w:hAnsi="宋体"/>
          <w:b/>
          <w:bCs/>
          <w:sz w:val="24"/>
        </w:rPr>
      </w:pPr>
      <w:r>
        <w:rPr>
          <w:rFonts w:hint="eastAsia" w:ascii="宋体" w:hAnsi="宋体"/>
          <w:b/>
          <w:bCs/>
          <w:sz w:val="24"/>
        </w:rPr>
        <w:t>八、保证金</w:t>
      </w:r>
    </w:p>
    <w:p>
      <w:pPr>
        <w:spacing w:line="560" w:lineRule="exact"/>
        <w:ind w:firstLine="480" w:firstLineChars="200"/>
        <w:rPr>
          <w:rFonts w:ascii="宋体" w:hAnsi="宋体"/>
          <w:sz w:val="24"/>
        </w:rPr>
      </w:pPr>
      <w:r>
        <w:rPr>
          <w:rFonts w:hint="eastAsia" w:ascii="宋体" w:hAnsi="宋体"/>
          <w:sz w:val="24"/>
        </w:rPr>
        <w:t>本期评选江苏省政府采购中心不收取保证金。</w:t>
      </w:r>
    </w:p>
    <w:p>
      <w:pPr>
        <w:spacing w:line="560" w:lineRule="exact"/>
        <w:rPr>
          <w:rFonts w:ascii="宋体" w:hAnsi="宋体"/>
          <w:b/>
          <w:bCs/>
          <w:sz w:val="24"/>
        </w:rPr>
      </w:pPr>
      <w:bookmarkStart w:id="6" w:name="_Toc120614211"/>
    </w:p>
    <w:p>
      <w:pPr>
        <w:ind w:right="840" w:firstLine="482" w:firstLineChars="200"/>
        <w:rPr>
          <w:rFonts w:ascii="宋体" w:hAnsi="宋体"/>
          <w:b/>
          <w:sz w:val="24"/>
        </w:rPr>
      </w:pPr>
    </w:p>
    <w:p>
      <w:pPr>
        <w:ind w:right="840" w:firstLine="482" w:firstLineChars="200"/>
        <w:rPr>
          <w:rFonts w:ascii="宋体" w:hAnsi="宋体"/>
          <w:b/>
          <w:sz w:val="24"/>
        </w:rPr>
      </w:pPr>
    </w:p>
    <w:p>
      <w:pPr>
        <w:ind w:right="840"/>
        <w:rPr>
          <w:rFonts w:ascii="宋体" w:hAnsi="宋体"/>
          <w:b/>
          <w:sz w:val="24"/>
        </w:rPr>
      </w:pPr>
    </w:p>
    <w:p>
      <w:pPr>
        <w:ind w:right="840" w:firstLine="482" w:firstLineChars="200"/>
        <w:rPr>
          <w:rFonts w:ascii="宋体" w:hAnsi="宋体"/>
          <w:b/>
          <w:sz w:val="24"/>
        </w:rPr>
      </w:pPr>
    </w:p>
    <w:p>
      <w:pPr>
        <w:ind w:right="840"/>
        <w:rPr>
          <w:rFonts w:ascii="宋体" w:hAnsi="宋体"/>
          <w:b/>
          <w:sz w:val="24"/>
        </w:rPr>
      </w:pPr>
    </w:p>
    <w:p>
      <w:pPr>
        <w:ind w:right="840"/>
        <w:rPr>
          <w:rFonts w:ascii="宋体" w:hAnsi="宋体"/>
          <w:b/>
          <w:sz w:val="24"/>
        </w:rPr>
      </w:pPr>
    </w:p>
    <w:p>
      <w:pPr>
        <w:ind w:right="840"/>
        <w:jc w:val="center"/>
        <w:rPr>
          <w:rFonts w:ascii="黑体" w:eastAsia="黑体"/>
          <w:sz w:val="44"/>
          <w:szCs w:val="44"/>
        </w:rPr>
      </w:pPr>
      <w:r>
        <w:rPr>
          <w:rFonts w:hint="eastAsia" w:ascii="黑体" w:eastAsia="黑体"/>
          <w:sz w:val="44"/>
          <w:szCs w:val="44"/>
        </w:rPr>
        <w:t xml:space="preserve">     </w:t>
      </w:r>
    </w:p>
    <w:p>
      <w:pPr>
        <w:widowControl/>
        <w:jc w:val="left"/>
        <w:rPr>
          <w:rFonts w:ascii="黑体" w:eastAsia="黑体"/>
          <w:sz w:val="44"/>
          <w:szCs w:val="44"/>
        </w:rPr>
      </w:pPr>
      <w:r>
        <w:rPr>
          <w:rFonts w:ascii="黑体" w:eastAsia="黑体"/>
          <w:sz w:val="44"/>
          <w:szCs w:val="44"/>
        </w:rPr>
        <w:br w:type="page"/>
      </w:r>
    </w:p>
    <w:p>
      <w:pPr>
        <w:ind w:right="840"/>
        <w:jc w:val="center"/>
        <w:rPr>
          <w:rFonts w:ascii="黑体" w:eastAsia="黑体"/>
        </w:rPr>
      </w:pPr>
      <w:r>
        <w:rPr>
          <w:rFonts w:hint="eastAsia" w:ascii="黑体" w:eastAsia="黑体"/>
          <w:sz w:val="44"/>
          <w:szCs w:val="44"/>
        </w:rPr>
        <w:t xml:space="preserve">第二章  </w:t>
      </w:r>
      <w:bookmarkStart w:id="7" w:name="_Toc16938518"/>
      <w:bookmarkStart w:id="8" w:name="_Toc513029202"/>
      <w:bookmarkStart w:id="9" w:name="_Toc120614213"/>
      <w:bookmarkStart w:id="10" w:name="_Toc20823274"/>
      <w:bookmarkEnd w:id="1"/>
      <w:bookmarkEnd w:id="2"/>
      <w:bookmarkEnd w:id="3"/>
      <w:bookmarkEnd w:id="4"/>
      <w:bookmarkEnd w:id="5"/>
      <w:bookmarkEnd w:id="6"/>
      <w:r>
        <w:rPr>
          <w:rFonts w:hint="eastAsia" w:ascii="黑体" w:eastAsia="黑体"/>
          <w:sz w:val="44"/>
          <w:szCs w:val="44"/>
        </w:rPr>
        <w:t>报名银行须知</w:t>
      </w:r>
      <w:bookmarkEnd w:id="7"/>
      <w:bookmarkEnd w:id="8"/>
      <w:bookmarkEnd w:id="9"/>
      <w:bookmarkEnd w:id="10"/>
    </w:p>
    <w:p>
      <w:pPr>
        <w:pStyle w:val="5"/>
        <w:spacing w:before="145" w:beforeLines="50" w:after="145" w:afterLines="50" w:line="360" w:lineRule="auto"/>
        <w:ind w:firstLine="498" w:firstLineChars="155"/>
      </w:pPr>
      <w:bookmarkStart w:id="11" w:name="_Toc120614214"/>
      <w:bookmarkStart w:id="12" w:name="_Toc20823275"/>
      <w:bookmarkStart w:id="13" w:name="_Toc16938519"/>
      <w:bookmarkStart w:id="14" w:name="_Toc513029203"/>
      <w:r>
        <w:rPr>
          <w:rFonts w:hint="eastAsia"/>
        </w:rPr>
        <w:t>一、总则</w:t>
      </w:r>
      <w:bookmarkEnd w:id="11"/>
      <w:bookmarkEnd w:id="12"/>
      <w:bookmarkEnd w:id="13"/>
      <w:bookmarkEnd w:id="14"/>
    </w:p>
    <w:p>
      <w:pPr>
        <w:pStyle w:val="6"/>
        <w:spacing w:before="0" w:after="0" w:line="240" w:lineRule="auto"/>
        <w:ind w:firstLine="420" w:firstLineChars="150"/>
        <w:rPr>
          <w:b w:val="0"/>
          <w:bCs w:val="0"/>
        </w:rPr>
      </w:pPr>
      <w:bookmarkStart w:id="15" w:name="_Hlt16619475"/>
      <w:bookmarkEnd w:id="15"/>
      <w:bookmarkStart w:id="16" w:name="_Toc458694821"/>
      <w:bookmarkStart w:id="17" w:name="_Toc16938520"/>
      <w:bookmarkStart w:id="18" w:name="_Toc20823276"/>
      <w:bookmarkStart w:id="19" w:name="_Toc513029204"/>
      <w:r>
        <w:rPr>
          <w:rFonts w:hint="eastAsia"/>
          <w:b w:val="0"/>
          <w:bCs w:val="0"/>
        </w:rPr>
        <w:t>1</w:t>
      </w:r>
      <w:bookmarkEnd w:id="16"/>
      <w:r>
        <w:rPr>
          <w:rFonts w:hint="eastAsia"/>
          <w:b w:val="0"/>
          <w:bCs w:val="0"/>
        </w:rPr>
        <w:t>、评选方式</w:t>
      </w:r>
      <w:bookmarkEnd w:id="17"/>
      <w:bookmarkEnd w:id="18"/>
      <w:bookmarkEnd w:id="19"/>
    </w:p>
    <w:p>
      <w:pPr>
        <w:spacing w:line="500" w:lineRule="exact"/>
        <w:ind w:firstLine="480" w:firstLineChars="200"/>
        <w:rPr>
          <w:rFonts w:ascii="宋体" w:hAnsi="宋体"/>
          <w:sz w:val="24"/>
        </w:rPr>
      </w:pPr>
      <w:r>
        <w:rPr>
          <w:rFonts w:hint="eastAsia" w:ascii="宋体" w:hAnsi="宋体"/>
          <w:sz w:val="24"/>
        </w:rPr>
        <w:t>1.1 本项目采取竞争性评选方式。</w:t>
      </w:r>
    </w:p>
    <w:p>
      <w:pPr>
        <w:spacing w:line="500" w:lineRule="exact"/>
        <w:ind w:firstLine="480" w:firstLineChars="200"/>
        <w:rPr>
          <w:rFonts w:ascii="宋体" w:hAnsi="宋体"/>
          <w:sz w:val="24"/>
        </w:rPr>
      </w:pPr>
      <w:r>
        <w:rPr>
          <w:rFonts w:hint="eastAsia" w:ascii="宋体" w:hAnsi="宋体"/>
          <w:sz w:val="24"/>
        </w:rPr>
        <w:t>1.2 本项目采用</w:t>
      </w:r>
      <w:r>
        <w:rPr>
          <w:rFonts w:ascii="宋体" w:hAnsi="宋体"/>
          <w:bCs/>
          <w:sz w:val="24"/>
        </w:rPr>
        <w:t>综合评分法</w:t>
      </w:r>
      <w:r>
        <w:rPr>
          <w:rFonts w:hint="eastAsia" w:ascii="宋体" w:hAnsi="宋体"/>
          <w:bCs/>
          <w:sz w:val="24"/>
        </w:rPr>
        <w:t>。</w:t>
      </w:r>
    </w:p>
    <w:p>
      <w:pPr>
        <w:pStyle w:val="6"/>
        <w:spacing w:before="0" w:after="0" w:line="240" w:lineRule="auto"/>
        <w:ind w:firstLine="420" w:firstLineChars="150"/>
        <w:rPr>
          <w:b w:val="0"/>
          <w:bCs w:val="0"/>
        </w:rPr>
      </w:pPr>
      <w:bookmarkStart w:id="20" w:name="_Toc513029205"/>
      <w:bookmarkStart w:id="21" w:name="_Toc20823277"/>
      <w:bookmarkStart w:id="22" w:name="_Toc16938521"/>
      <w:r>
        <w:rPr>
          <w:rFonts w:hint="eastAsia"/>
          <w:b w:val="0"/>
          <w:bCs w:val="0"/>
        </w:rPr>
        <w:t>2、</w:t>
      </w:r>
      <w:bookmarkEnd w:id="20"/>
      <w:bookmarkEnd w:id="21"/>
      <w:bookmarkEnd w:id="22"/>
      <w:r>
        <w:rPr>
          <w:rFonts w:hint="eastAsia"/>
          <w:b w:val="0"/>
          <w:bCs w:val="0"/>
        </w:rPr>
        <w:t>符合资金定期存放竞争性评选的报名银行</w:t>
      </w:r>
    </w:p>
    <w:p>
      <w:pPr>
        <w:pStyle w:val="4"/>
      </w:pPr>
      <w:r>
        <w:rPr>
          <w:rFonts w:hint="eastAsia"/>
        </w:rPr>
        <w:t>应当同时具备下列条件：</w:t>
      </w:r>
    </w:p>
    <w:p>
      <w:pPr>
        <w:spacing w:line="400" w:lineRule="exact"/>
        <w:ind w:firstLine="480" w:firstLineChars="200"/>
        <w:rPr>
          <w:rFonts w:ascii="宋体" w:hAnsi="宋体"/>
          <w:sz w:val="24"/>
          <w:szCs w:val="24"/>
        </w:rPr>
      </w:pPr>
      <w:r>
        <w:rPr>
          <w:rFonts w:hint="eastAsia" w:ascii="宋体" w:hAnsi="宋体"/>
          <w:sz w:val="24"/>
          <w:szCs w:val="24"/>
        </w:rPr>
        <w:t>2.1 相应报名银行满足评选公告中报名银行范围要求。</w:t>
      </w:r>
    </w:p>
    <w:p>
      <w:pPr>
        <w:spacing w:line="400" w:lineRule="exact"/>
        <w:ind w:firstLine="480" w:firstLineChars="200"/>
        <w:rPr>
          <w:rFonts w:ascii="宋体" w:hAnsi="宋体"/>
          <w:sz w:val="24"/>
          <w:szCs w:val="24"/>
        </w:rPr>
      </w:pPr>
      <w:r>
        <w:rPr>
          <w:rFonts w:hint="eastAsia" w:ascii="宋体" w:hAnsi="宋体"/>
          <w:sz w:val="24"/>
          <w:szCs w:val="24"/>
        </w:rPr>
        <w:t>2.2 相应报名银行响应有效。</w:t>
      </w:r>
    </w:p>
    <w:p>
      <w:pPr>
        <w:pStyle w:val="6"/>
        <w:spacing w:before="0" w:after="0" w:line="240" w:lineRule="auto"/>
        <w:ind w:firstLine="420" w:firstLineChars="150"/>
        <w:rPr>
          <w:b w:val="0"/>
          <w:bCs w:val="0"/>
        </w:rPr>
      </w:pPr>
      <w:r>
        <w:rPr>
          <w:rFonts w:hint="eastAsia"/>
          <w:b w:val="0"/>
          <w:bCs w:val="0"/>
        </w:rPr>
        <w:t>3、适用法律</w:t>
      </w:r>
    </w:p>
    <w:p>
      <w:pPr>
        <w:spacing w:line="400" w:lineRule="exact"/>
        <w:ind w:firstLine="480" w:firstLineChars="200"/>
        <w:rPr>
          <w:rFonts w:ascii="宋体" w:hAnsi="宋体"/>
          <w:sz w:val="24"/>
          <w:szCs w:val="24"/>
        </w:rPr>
      </w:pPr>
      <w:r>
        <w:rPr>
          <w:rFonts w:hint="eastAsia" w:ascii="宋体" w:hAnsi="宋体"/>
          <w:sz w:val="24"/>
          <w:szCs w:val="24"/>
        </w:rPr>
        <w:t>本次评选产生的协议受中华人民共和国有关的法律法规制约和保护。</w:t>
      </w:r>
    </w:p>
    <w:p>
      <w:pPr>
        <w:pStyle w:val="6"/>
        <w:spacing w:before="0" w:after="0" w:line="240" w:lineRule="auto"/>
        <w:ind w:firstLine="420" w:firstLineChars="150"/>
        <w:rPr>
          <w:b w:val="0"/>
          <w:bCs w:val="0"/>
        </w:rPr>
      </w:pPr>
      <w:bookmarkStart w:id="23" w:name="_Toc513029207"/>
      <w:bookmarkStart w:id="24" w:name="_Toc16938523"/>
      <w:bookmarkStart w:id="25" w:name="_Toc20823279"/>
      <w:bookmarkStart w:id="26" w:name="_Toc462564067"/>
      <w:r>
        <w:rPr>
          <w:rFonts w:hint="eastAsia"/>
          <w:b w:val="0"/>
          <w:bCs w:val="0"/>
        </w:rPr>
        <w:t>4、评选费用</w:t>
      </w:r>
      <w:bookmarkEnd w:id="23"/>
      <w:bookmarkEnd w:id="24"/>
      <w:bookmarkEnd w:id="25"/>
      <w:bookmarkEnd w:id="26"/>
    </w:p>
    <w:p>
      <w:pPr>
        <w:spacing w:line="500" w:lineRule="exact"/>
        <w:ind w:firstLine="480" w:firstLineChars="200"/>
        <w:rPr>
          <w:rFonts w:ascii="宋体" w:hAnsi="宋体"/>
          <w:sz w:val="24"/>
        </w:rPr>
      </w:pPr>
      <w:r>
        <w:rPr>
          <w:rFonts w:hint="eastAsia" w:ascii="宋体" w:hAnsi="宋体"/>
          <w:bCs/>
          <w:sz w:val="24"/>
        </w:rPr>
        <w:t xml:space="preserve">4.1 </w:t>
      </w:r>
      <w:r>
        <w:rPr>
          <w:rFonts w:hint="eastAsia" w:ascii="宋体" w:hAnsi="宋体"/>
          <w:sz w:val="24"/>
        </w:rPr>
        <w:t>报名银行应自行承担所有与评选有关的费用。</w:t>
      </w:r>
    </w:p>
    <w:p>
      <w:pPr>
        <w:spacing w:line="500" w:lineRule="exact"/>
        <w:ind w:firstLine="480" w:firstLineChars="200"/>
        <w:rPr>
          <w:rFonts w:ascii="宋体" w:hAnsi="宋体"/>
          <w:sz w:val="24"/>
        </w:rPr>
      </w:pPr>
      <w:r>
        <w:rPr>
          <w:rFonts w:hint="eastAsia" w:ascii="宋体" w:hAnsi="宋体"/>
          <w:sz w:val="24"/>
        </w:rPr>
        <w:t>4.2 本次评选采购中心和评选委托方不收取工本费与服务费。</w:t>
      </w:r>
    </w:p>
    <w:p>
      <w:pPr>
        <w:pStyle w:val="6"/>
        <w:spacing w:before="0" w:after="0" w:line="240" w:lineRule="auto"/>
        <w:ind w:firstLine="420" w:firstLineChars="150"/>
        <w:rPr>
          <w:b w:val="0"/>
          <w:bCs w:val="0"/>
        </w:rPr>
      </w:pPr>
      <w:r>
        <w:rPr>
          <w:rFonts w:hint="eastAsia"/>
          <w:b w:val="0"/>
          <w:bCs w:val="0"/>
        </w:rPr>
        <w:t>5、评选文件的约束力</w:t>
      </w:r>
    </w:p>
    <w:p>
      <w:pPr>
        <w:spacing w:line="400" w:lineRule="exact"/>
        <w:ind w:firstLine="420" w:firstLineChars="175"/>
        <w:rPr>
          <w:rFonts w:ascii="宋体" w:hAnsi="宋体"/>
          <w:sz w:val="24"/>
        </w:rPr>
      </w:pPr>
      <w:r>
        <w:rPr>
          <w:rFonts w:hint="eastAsia" w:ascii="宋体" w:hAnsi="宋体"/>
          <w:sz w:val="24"/>
        </w:rPr>
        <w:t>报名银行一旦参加本项目评选活动，即被认为接受了本评选文件的规定和约束。</w:t>
      </w:r>
    </w:p>
    <w:p>
      <w:pPr>
        <w:pStyle w:val="5"/>
        <w:spacing w:before="145" w:beforeLines="50" w:after="145" w:afterLines="50" w:line="360" w:lineRule="auto"/>
        <w:ind w:firstLine="321" w:firstLineChars="100"/>
      </w:pPr>
      <w:bookmarkStart w:id="27" w:name="_Toc20823281"/>
      <w:bookmarkStart w:id="28" w:name="_Toc120614215"/>
      <w:bookmarkStart w:id="29" w:name="_Toc16938525"/>
      <w:bookmarkStart w:id="30" w:name="_Toc513029209"/>
      <w:r>
        <w:rPr>
          <w:rFonts w:hint="eastAsia"/>
        </w:rPr>
        <w:t>二、评选文件</w:t>
      </w:r>
      <w:bookmarkEnd w:id="27"/>
      <w:bookmarkEnd w:id="28"/>
      <w:bookmarkEnd w:id="29"/>
      <w:bookmarkEnd w:id="30"/>
    </w:p>
    <w:p>
      <w:pPr>
        <w:pStyle w:val="6"/>
        <w:spacing w:before="0" w:after="0" w:line="240" w:lineRule="auto"/>
        <w:ind w:firstLine="420" w:firstLineChars="150"/>
        <w:rPr>
          <w:b w:val="0"/>
          <w:bCs w:val="0"/>
        </w:rPr>
      </w:pPr>
      <w:bookmarkStart w:id="31" w:name="_Toc513029210"/>
      <w:bookmarkStart w:id="32" w:name="_Toc16938526"/>
      <w:bookmarkStart w:id="33" w:name="_Toc20823282"/>
      <w:r>
        <w:rPr>
          <w:rFonts w:hint="eastAsia"/>
          <w:b w:val="0"/>
          <w:bCs w:val="0"/>
        </w:rPr>
        <w:t>6、评选文件构成</w:t>
      </w:r>
      <w:bookmarkEnd w:id="31"/>
      <w:bookmarkEnd w:id="32"/>
      <w:bookmarkEnd w:id="33"/>
    </w:p>
    <w:p>
      <w:pPr>
        <w:spacing w:line="400" w:lineRule="exact"/>
        <w:ind w:firstLine="360" w:firstLineChars="150"/>
        <w:rPr>
          <w:rFonts w:ascii="宋体" w:hAnsi="宋体"/>
          <w:sz w:val="24"/>
          <w:szCs w:val="24"/>
        </w:rPr>
      </w:pPr>
      <w:r>
        <w:rPr>
          <w:rFonts w:hint="eastAsia" w:ascii="宋体" w:hAnsi="宋体"/>
          <w:sz w:val="24"/>
          <w:szCs w:val="24"/>
        </w:rPr>
        <w:t>（1）评选公告</w:t>
      </w:r>
    </w:p>
    <w:p>
      <w:pPr>
        <w:spacing w:line="400" w:lineRule="exact"/>
        <w:ind w:firstLine="360" w:firstLineChars="150"/>
        <w:rPr>
          <w:rFonts w:ascii="宋体" w:hAnsi="宋体"/>
          <w:sz w:val="24"/>
          <w:szCs w:val="24"/>
        </w:rPr>
      </w:pPr>
      <w:r>
        <w:rPr>
          <w:rFonts w:hint="eastAsia" w:ascii="宋体" w:hAnsi="宋体"/>
          <w:sz w:val="24"/>
          <w:szCs w:val="24"/>
        </w:rPr>
        <w:t>（2）报名银行须知</w:t>
      </w:r>
    </w:p>
    <w:p>
      <w:pPr>
        <w:spacing w:line="400" w:lineRule="exact"/>
        <w:ind w:firstLine="360" w:firstLineChars="150"/>
        <w:rPr>
          <w:rFonts w:ascii="宋体" w:hAnsi="宋体"/>
          <w:sz w:val="24"/>
          <w:szCs w:val="24"/>
        </w:rPr>
      </w:pPr>
      <w:r>
        <w:rPr>
          <w:rFonts w:hint="eastAsia" w:ascii="宋体" w:hAnsi="宋体"/>
          <w:sz w:val="24"/>
          <w:szCs w:val="24"/>
        </w:rPr>
        <w:t>（3）合同文本</w:t>
      </w:r>
    </w:p>
    <w:p>
      <w:pPr>
        <w:spacing w:line="400" w:lineRule="exact"/>
        <w:ind w:firstLine="360" w:firstLineChars="150"/>
        <w:rPr>
          <w:rFonts w:ascii="宋体" w:hAnsi="宋体"/>
          <w:sz w:val="24"/>
          <w:szCs w:val="24"/>
        </w:rPr>
      </w:pPr>
      <w:r>
        <w:rPr>
          <w:rFonts w:hint="eastAsia" w:ascii="宋体" w:hAnsi="宋体"/>
          <w:sz w:val="24"/>
          <w:szCs w:val="24"/>
        </w:rPr>
        <w:t>（4）项目需求</w:t>
      </w:r>
    </w:p>
    <w:p>
      <w:pPr>
        <w:spacing w:line="400" w:lineRule="exact"/>
        <w:ind w:firstLine="360" w:firstLineChars="150"/>
        <w:rPr>
          <w:rFonts w:ascii="宋体" w:hAnsi="宋体"/>
          <w:sz w:val="24"/>
          <w:szCs w:val="24"/>
        </w:rPr>
      </w:pPr>
      <w:r>
        <w:rPr>
          <w:rFonts w:hint="eastAsia" w:ascii="宋体" w:hAnsi="宋体"/>
          <w:sz w:val="24"/>
          <w:szCs w:val="24"/>
        </w:rPr>
        <w:t>（5）评选方法与评分标准</w:t>
      </w:r>
    </w:p>
    <w:p>
      <w:pPr>
        <w:spacing w:line="400" w:lineRule="exact"/>
        <w:ind w:firstLine="360" w:firstLineChars="150"/>
        <w:rPr>
          <w:rFonts w:ascii="宋体" w:hAnsi="宋体"/>
          <w:sz w:val="24"/>
          <w:szCs w:val="24"/>
        </w:rPr>
      </w:pPr>
      <w:r>
        <w:rPr>
          <w:rFonts w:hint="eastAsia" w:ascii="宋体" w:hAnsi="宋体"/>
          <w:sz w:val="24"/>
          <w:szCs w:val="24"/>
        </w:rPr>
        <w:t>（6）响应文件格式</w:t>
      </w:r>
    </w:p>
    <w:p>
      <w:pPr>
        <w:pStyle w:val="6"/>
        <w:spacing w:before="0" w:after="0" w:line="240" w:lineRule="auto"/>
        <w:ind w:firstLine="420" w:firstLineChars="150"/>
        <w:rPr>
          <w:b w:val="0"/>
          <w:bCs w:val="0"/>
        </w:rPr>
      </w:pPr>
      <w:bookmarkStart w:id="34" w:name="_Toc16938527"/>
      <w:bookmarkStart w:id="35" w:name="_Toc20823283"/>
      <w:bookmarkStart w:id="36" w:name="_Toc462564070"/>
      <w:bookmarkStart w:id="37" w:name="_Toc513029211"/>
      <w:r>
        <w:rPr>
          <w:rFonts w:hint="eastAsia"/>
          <w:b w:val="0"/>
          <w:bCs w:val="0"/>
        </w:rPr>
        <w:t>7、评选文件的澄清</w:t>
      </w:r>
      <w:bookmarkEnd w:id="34"/>
      <w:bookmarkEnd w:id="35"/>
      <w:bookmarkEnd w:id="36"/>
      <w:bookmarkEnd w:id="37"/>
    </w:p>
    <w:p>
      <w:pPr>
        <w:spacing w:line="480" w:lineRule="exact"/>
        <w:ind w:firstLine="420" w:firstLineChars="175"/>
        <w:rPr>
          <w:rFonts w:ascii="宋体" w:hAnsi="宋体"/>
          <w:sz w:val="24"/>
        </w:rPr>
      </w:pPr>
      <w:bookmarkStart w:id="38" w:name="_Toc513029212"/>
      <w:bookmarkStart w:id="39" w:name="_Toc16938528"/>
      <w:bookmarkStart w:id="40" w:name="_Toc20823284"/>
      <w:bookmarkStart w:id="41" w:name="_Toc462564071"/>
      <w:r>
        <w:rPr>
          <w:rFonts w:hint="eastAsia" w:ascii="宋体" w:hAnsi="宋体"/>
          <w:sz w:val="24"/>
        </w:rPr>
        <w:t>采购中心认为已发布的评选文件确有必要澄清或者修改的，将再通知各报名银行。</w:t>
      </w:r>
    </w:p>
    <w:p>
      <w:pPr>
        <w:pStyle w:val="6"/>
        <w:spacing w:before="0" w:after="0" w:line="240" w:lineRule="auto"/>
        <w:ind w:firstLine="420" w:firstLineChars="150"/>
        <w:rPr>
          <w:b w:val="0"/>
          <w:bCs w:val="0"/>
        </w:rPr>
      </w:pPr>
      <w:r>
        <w:rPr>
          <w:rFonts w:hint="eastAsia"/>
          <w:b w:val="0"/>
          <w:bCs w:val="0"/>
        </w:rPr>
        <w:t>8、评选文件的修改</w:t>
      </w:r>
      <w:bookmarkEnd w:id="38"/>
      <w:bookmarkEnd w:id="39"/>
      <w:bookmarkEnd w:id="40"/>
      <w:bookmarkEnd w:id="41"/>
    </w:p>
    <w:p>
      <w:pPr>
        <w:spacing w:line="500" w:lineRule="exact"/>
        <w:ind w:firstLine="480" w:firstLineChars="200"/>
        <w:rPr>
          <w:rFonts w:ascii="宋体" w:hAnsi="宋体"/>
          <w:sz w:val="24"/>
        </w:rPr>
      </w:pPr>
      <w:bookmarkStart w:id="42" w:name="_Toc20823285"/>
      <w:bookmarkStart w:id="43" w:name="_Toc120614216"/>
      <w:bookmarkStart w:id="44" w:name="_Toc462564072"/>
      <w:bookmarkStart w:id="45" w:name="_Toc16938529"/>
      <w:bookmarkStart w:id="46" w:name="_Toc513029213"/>
      <w:r>
        <w:rPr>
          <w:rFonts w:hint="eastAsia" w:ascii="宋体" w:hAnsi="宋体"/>
          <w:bCs/>
          <w:sz w:val="24"/>
        </w:rPr>
        <w:t>8.1</w:t>
      </w:r>
      <w:r>
        <w:rPr>
          <w:rFonts w:hint="eastAsia" w:ascii="宋体" w:hAnsi="宋体"/>
          <w:sz w:val="24"/>
        </w:rPr>
        <w:t xml:space="preserve"> 在现场评选开始</w:t>
      </w:r>
      <w:r>
        <w:rPr>
          <w:rFonts w:hint="eastAsia" w:ascii="仿宋_GB2312" w:hAnsi="仿宋_GB2312"/>
          <w:sz w:val="24"/>
        </w:rPr>
        <w:t>前</w:t>
      </w:r>
      <w:r>
        <w:rPr>
          <w:rFonts w:hint="eastAsia" w:ascii="宋体" w:hAnsi="宋体"/>
          <w:sz w:val="24"/>
        </w:rPr>
        <w:t>，采购中心均可以以补充文件的方式对评选文件进行修改。</w:t>
      </w:r>
    </w:p>
    <w:p>
      <w:pPr>
        <w:spacing w:line="500" w:lineRule="exact"/>
        <w:ind w:firstLine="480" w:firstLineChars="200"/>
        <w:rPr>
          <w:rFonts w:ascii="宋体" w:hAnsi="宋体"/>
          <w:sz w:val="24"/>
        </w:rPr>
      </w:pPr>
      <w:r>
        <w:rPr>
          <w:rFonts w:hint="eastAsia" w:ascii="宋体" w:hAnsi="宋体"/>
          <w:bCs/>
          <w:sz w:val="24"/>
        </w:rPr>
        <w:t xml:space="preserve">8.2 </w:t>
      </w:r>
      <w:r>
        <w:rPr>
          <w:rFonts w:hint="eastAsia" w:ascii="宋体" w:hAnsi="宋体"/>
          <w:sz w:val="24"/>
        </w:rPr>
        <w:t>评选文件的修改将在江苏省机关事务管理局官网公布，</w:t>
      </w:r>
      <w:r>
        <w:rPr>
          <w:rFonts w:hint="eastAsia" w:ascii="宋体" w:hAnsi="宋体"/>
          <w:sz w:val="24"/>
          <w:szCs w:val="24"/>
        </w:rPr>
        <w:t>补充文件将作为评选文件的组成部分，</w:t>
      </w:r>
      <w:r>
        <w:rPr>
          <w:rFonts w:hint="eastAsia" w:ascii="宋体" w:hAnsi="宋体"/>
          <w:sz w:val="24"/>
        </w:rPr>
        <w:t>并对报名银行具有约束力。</w:t>
      </w:r>
    </w:p>
    <w:p>
      <w:pPr>
        <w:pStyle w:val="5"/>
        <w:spacing w:before="145" w:beforeLines="50" w:after="145" w:afterLines="50" w:line="360" w:lineRule="auto"/>
        <w:ind w:firstLine="482" w:firstLineChars="150"/>
      </w:pPr>
      <w:r>
        <w:rPr>
          <w:rFonts w:hint="eastAsia"/>
        </w:rPr>
        <w:t>三、响应文件的编制</w:t>
      </w:r>
      <w:bookmarkEnd w:id="42"/>
      <w:bookmarkEnd w:id="43"/>
      <w:bookmarkEnd w:id="44"/>
      <w:bookmarkEnd w:id="45"/>
      <w:bookmarkEnd w:id="46"/>
    </w:p>
    <w:p>
      <w:pPr>
        <w:pStyle w:val="6"/>
        <w:spacing w:before="0" w:after="0" w:line="240" w:lineRule="auto"/>
        <w:ind w:firstLine="420" w:firstLineChars="150"/>
        <w:rPr>
          <w:b w:val="0"/>
          <w:bCs w:val="0"/>
        </w:rPr>
      </w:pPr>
      <w:bookmarkStart w:id="47" w:name="_Toc20823286"/>
      <w:bookmarkStart w:id="48" w:name="_Toc16938530"/>
      <w:bookmarkStart w:id="49" w:name="_Toc462564073"/>
      <w:bookmarkStart w:id="50" w:name="_Toc513029214"/>
      <w:r>
        <w:rPr>
          <w:rFonts w:hint="eastAsia"/>
          <w:b w:val="0"/>
          <w:bCs w:val="0"/>
        </w:rPr>
        <w:t>9、响应文件的语言及度量衡单位</w:t>
      </w:r>
      <w:bookmarkEnd w:id="47"/>
      <w:bookmarkEnd w:id="48"/>
      <w:bookmarkEnd w:id="49"/>
      <w:bookmarkEnd w:id="50"/>
    </w:p>
    <w:p>
      <w:pPr>
        <w:spacing w:line="500" w:lineRule="exact"/>
        <w:ind w:firstLine="480" w:firstLineChars="200"/>
        <w:rPr>
          <w:rFonts w:ascii="宋体" w:hAnsi="宋体"/>
          <w:sz w:val="24"/>
        </w:rPr>
      </w:pPr>
      <w:r>
        <w:rPr>
          <w:rFonts w:hint="eastAsia" w:ascii="宋体" w:hAnsi="宋体"/>
          <w:bCs/>
          <w:sz w:val="24"/>
        </w:rPr>
        <w:t>9.1</w:t>
      </w:r>
      <w:r>
        <w:rPr>
          <w:rFonts w:hint="eastAsia" w:ascii="宋体" w:hAnsi="宋体"/>
          <w:sz w:val="24"/>
        </w:rPr>
        <w:t xml:space="preserve"> 报名银行提交的响应文件以及报名银行与采购中心就有关评选的所有来往通知、函件和文件均应使用</w:t>
      </w:r>
      <w:r>
        <w:rPr>
          <w:rFonts w:hint="eastAsia" w:ascii="宋体" w:hAnsi="宋体"/>
          <w:b/>
          <w:bCs/>
          <w:sz w:val="24"/>
        </w:rPr>
        <w:t>简体中文</w:t>
      </w:r>
      <w:r>
        <w:rPr>
          <w:rFonts w:hint="eastAsia" w:ascii="宋体" w:hAnsi="宋体"/>
          <w:sz w:val="24"/>
        </w:rPr>
        <w:t>。</w:t>
      </w:r>
    </w:p>
    <w:p>
      <w:pPr>
        <w:spacing w:line="500" w:lineRule="exact"/>
        <w:ind w:firstLine="480" w:firstLineChars="200"/>
        <w:rPr>
          <w:rFonts w:ascii="宋体" w:hAnsi="宋体"/>
          <w:sz w:val="24"/>
        </w:rPr>
      </w:pPr>
      <w:r>
        <w:rPr>
          <w:rFonts w:hint="eastAsia" w:ascii="宋体" w:hAnsi="宋体"/>
          <w:bCs/>
          <w:sz w:val="24"/>
        </w:rPr>
        <w:t>9.2</w:t>
      </w:r>
      <w:r>
        <w:rPr>
          <w:rFonts w:hint="eastAsia" w:ascii="宋体" w:hAnsi="宋体"/>
          <w:sz w:val="24"/>
        </w:rPr>
        <w:t xml:space="preserve"> 除技术性能另有规定外，响应文件所使用的度量衡单位，均须采用国家法定计量单位。</w:t>
      </w:r>
    </w:p>
    <w:p>
      <w:pPr>
        <w:pStyle w:val="6"/>
        <w:spacing w:before="0" w:after="0" w:line="240" w:lineRule="auto"/>
        <w:ind w:firstLine="420" w:firstLineChars="150"/>
        <w:rPr>
          <w:b w:val="0"/>
          <w:bCs w:val="0"/>
        </w:rPr>
      </w:pPr>
      <w:bookmarkStart w:id="51" w:name="_Toc16938531"/>
      <w:bookmarkStart w:id="52" w:name="_Toc20823287"/>
      <w:bookmarkStart w:id="53" w:name="_Toc513029215"/>
      <w:bookmarkStart w:id="54" w:name="_Toc462564074"/>
      <w:r>
        <w:rPr>
          <w:rFonts w:hint="eastAsia"/>
          <w:b w:val="0"/>
          <w:bCs w:val="0"/>
        </w:rPr>
        <w:t>10、响应文件构成</w:t>
      </w:r>
      <w:bookmarkEnd w:id="51"/>
      <w:bookmarkEnd w:id="52"/>
      <w:bookmarkEnd w:id="53"/>
      <w:bookmarkEnd w:id="54"/>
    </w:p>
    <w:p>
      <w:pPr>
        <w:spacing w:line="440" w:lineRule="exact"/>
        <w:ind w:firstLine="480" w:firstLineChars="200"/>
        <w:rPr>
          <w:rFonts w:ascii="宋体" w:hAnsi="宋体"/>
          <w:sz w:val="24"/>
        </w:rPr>
      </w:pPr>
      <w:r>
        <w:rPr>
          <w:rFonts w:hint="eastAsia" w:ascii="宋体" w:hAnsi="宋体"/>
          <w:bCs/>
          <w:sz w:val="24"/>
        </w:rPr>
        <w:t>10.1</w:t>
      </w:r>
      <w:r>
        <w:rPr>
          <w:rFonts w:hint="eastAsia" w:ascii="宋体" w:hAnsi="宋体"/>
          <w:sz w:val="24"/>
        </w:rPr>
        <w:t xml:space="preserve"> 报名银行编写的响应文件应包括资格证明文件、团队情况表、服务承诺书、响应方案、响应利率报价一览表等部分。</w:t>
      </w:r>
    </w:p>
    <w:p>
      <w:pPr>
        <w:spacing w:line="440" w:lineRule="exact"/>
        <w:ind w:firstLine="480" w:firstLineChars="200"/>
        <w:rPr>
          <w:rFonts w:ascii="仿宋_GB2312" w:eastAsia="仿宋_GB2312"/>
          <w:sz w:val="24"/>
        </w:rPr>
      </w:pPr>
      <w:r>
        <w:rPr>
          <w:rFonts w:hint="eastAsia" w:ascii="宋体" w:hAnsi="宋体"/>
          <w:sz w:val="24"/>
        </w:rPr>
        <w:t>10.2</w:t>
      </w:r>
      <w:r>
        <w:rPr>
          <w:rFonts w:hint="eastAsia" w:ascii="宋体" w:hAnsi="宋体"/>
          <w:b/>
          <w:sz w:val="24"/>
        </w:rPr>
        <w:t xml:space="preserve"> </w:t>
      </w:r>
      <w:r>
        <w:rPr>
          <w:rFonts w:hint="eastAsia" w:ascii="宋体" w:hAnsi="宋体"/>
          <w:sz w:val="24"/>
        </w:rPr>
        <w:t>报名银行应按照评选文件中提供的格式编制响应文件并按顺序装订成册，也应编制响应文件资料目录。</w:t>
      </w:r>
    </w:p>
    <w:p>
      <w:pPr>
        <w:pStyle w:val="6"/>
        <w:spacing w:before="0" w:after="0" w:line="240" w:lineRule="auto"/>
        <w:ind w:firstLine="420" w:firstLineChars="150"/>
        <w:rPr>
          <w:b w:val="0"/>
          <w:bCs w:val="0"/>
        </w:rPr>
      </w:pPr>
      <w:bookmarkStart w:id="55" w:name="_Hlt26954838"/>
      <w:bookmarkEnd w:id="55"/>
      <w:bookmarkStart w:id="56" w:name="_Hlt26670360"/>
      <w:bookmarkEnd w:id="56"/>
      <w:bookmarkStart w:id="57" w:name="_Hlt26668975"/>
      <w:bookmarkEnd w:id="57"/>
      <w:bookmarkStart w:id="58" w:name="_Toc513029219"/>
      <w:bookmarkStart w:id="59" w:name="_Toc14577357"/>
      <w:bookmarkStart w:id="60" w:name="_Toc49090509"/>
      <w:bookmarkStart w:id="61" w:name="_Toc14577355"/>
      <w:bookmarkStart w:id="62" w:name="_Toc49090508"/>
      <w:r>
        <w:rPr>
          <w:rFonts w:hint="eastAsia"/>
          <w:b w:val="0"/>
          <w:bCs w:val="0"/>
        </w:rPr>
        <w:t>11、证明报名银行符合评选文件规定的文件</w:t>
      </w:r>
      <w:bookmarkEnd w:id="58"/>
      <w:bookmarkEnd w:id="59"/>
      <w:bookmarkEnd w:id="60"/>
    </w:p>
    <w:p>
      <w:pPr>
        <w:spacing w:line="500" w:lineRule="exact"/>
        <w:ind w:firstLine="480" w:firstLineChars="200"/>
        <w:rPr>
          <w:rFonts w:ascii="宋体" w:hAnsi="宋体"/>
          <w:sz w:val="24"/>
        </w:rPr>
      </w:pPr>
      <w:bookmarkStart w:id="63" w:name="_Hlt26668999"/>
      <w:bookmarkEnd w:id="63"/>
      <w:r>
        <w:rPr>
          <w:rFonts w:hint="eastAsia" w:ascii="宋体" w:hAnsi="宋体"/>
          <w:sz w:val="24"/>
        </w:rPr>
        <w:t>报名银行应按要求提交实质性响应证明文件及符合评选文件规定的文件。</w:t>
      </w:r>
    </w:p>
    <w:bookmarkEnd w:id="61"/>
    <w:bookmarkEnd w:id="62"/>
    <w:p>
      <w:pPr>
        <w:pStyle w:val="6"/>
        <w:spacing w:before="0" w:after="0" w:line="240" w:lineRule="auto"/>
        <w:ind w:firstLine="420" w:firstLineChars="150"/>
        <w:rPr>
          <w:b w:val="0"/>
          <w:bCs w:val="0"/>
        </w:rPr>
      </w:pPr>
      <w:bookmarkStart w:id="64" w:name="_Hlt26954846"/>
      <w:bookmarkEnd w:id="64"/>
      <w:bookmarkStart w:id="65" w:name="_Hlt26670486"/>
      <w:bookmarkEnd w:id="65"/>
      <w:bookmarkStart w:id="66" w:name="_Hlt26954731"/>
      <w:bookmarkEnd w:id="66"/>
      <w:bookmarkStart w:id="67" w:name="_Hlt26954848"/>
      <w:bookmarkEnd w:id="67"/>
      <w:bookmarkStart w:id="68" w:name="_Hlt26670482"/>
      <w:bookmarkEnd w:id="68"/>
      <w:r>
        <w:rPr>
          <w:rFonts w:hint="eastAsia"/>
          <w:b w:val="0"/>
          <w:bCs w:val="0"/>
        </w:rPr>
        <w:t>12、响应利率报价一览表</w:t>
      </w:r>
    </w:p>
    <w:p>
      <w:pPr>
        <w:spacing w:line="500" w:lineRule="exact"/>
        <w:ind w:firstLine="480" w:firstLineChars="200"/>
        <w:rPr>
          <w:rFonts w:ascii="宋体" w:hAnsi="宋体"/>
          <w:sz w:val="24"/>
        </w:rPr>
      </w:pPr>
      <w:r>
        <w:rPr>
          <w:rFonts w:hint="eastAsia" w:ascii="宋体" w:hAnsi="宋体"/>
          <w:bCs/>
          <w:sz w:val="24"/>
        </w:rPr>
        <w:t>12.1</w:t>
      </w:r>
      <w:r>
        <w:rPr>
          <w:rFonts w:hint="eastAsia" w:ascii="宋体" w:hAnsi="宋体"/>
          <w:sz w:val="24"/>
        </w:rPr>
        <w:t xml:space="preserve"> 报名银行应按照评选文件中提供的格式完整、正确填写响应利率报价一览表。</w:t>
      </w:r>
    </w:p>
    <w:p>
      <w:pPr>
        <w:spacing w:line="480" w:lineRule="exact"/>
        <w:ind w:firstLine="480"/>
        <w:rPr>
          <w:rFonts w:ascii="宋体" w:hAnsi="宋体"/>
          <w:sz w:val="24"/>
          <w:szCs w:val="24"/>
        </w:rPr>
      </w:pPr>
      <w:r>
        <w:rPr>
          <w:rFonts w:hint="eastAsia" w:ascii="宋体" w:hAnsi="宋体"/>
          <w:b/>
          <w:bCs/>
          <w:sz w:val="24"/>
          <w:szCs w:val="24"/>
        </w:rPr>
        <w:t>12.2</w:t>
      </w:r>
      <w:r>
        <w:rPr>
          <w:rFonts w:hint="eastAsia" w:ascii="宋体" w:hAnsi="宋体"/>
          <w:iCs/>
          <w:kern w:val="0"/>
          <w:sz w:val="24"/>
          <w:szCs w:val="24"/>
        </w:rPr>
        <w:t xml:space="preserve"> </w:t>
      </w:r>
      <w:r>
        <w:rPr>
          <w:rFonts w:hint="eastAsia" w:ascii="宋体" w:hAnsi="宋体"/>
          <w:b/>
          <w:bCs/>
          <w:i/>
          <w:kern w:val="0"/>
          <w:sz w:val="24"/>
          <w:szCs w:val="24"/>
          <w:u w:val="single"/>
        </w:rPr>
        <w:t>响应利率报价一览表必须加盖公章，必须单独密封在信封中，在响应文件接收截止时间前与响应文件分别递交，否则视为无效响应。</w:t>
      </w:r>
    </w:p>
    <w:p>
      <w:pPr>
        <w:pStyle w:val="5"/>
        <w:spacing w:before="145" w:beforeLines="50" w:after="145" w:afterLines="50" w:line="360" w:lineRule="auto"/>
        <w:ind w:firstLine="482" w:firstLineChars="150"/>
      </w:pPr>
      <w:bookmarkStart w:id="69" w:name="_Toc120614217"/>
      <w:bookmarkStart w:id="70" w:name="_Toc20823296"/>
      <w:bookmarkStart w:id="71" w:name="_Toc513029224"/>
      <w:bookmarkStart w:id="72" w:name="_Toc16938540"/>
      <w:r>
        <w:rPr>
          <w:rFonts w:hint="eastAsia"/>
        </w:rPr>
        <w:t>四、响应文件的递交</w:t>
      </w:r>
      <w:bookmarkEnd w:id="69"/>
      <w:bookmarkEnd w:id="70"/>
      <w:bookmarkEnd w:id="71"/>
      <w:bookmarkEnd w:id="72"/>
    </w:p>
    <w:p>
      <w:pPr>
        <w:pStyle w:val="6"/>
        <w:spacing w:before="0" w:after="0" w:line="240" w:lineRule="auto"/>
        <w:ind w:firstLine="420" w:firstLineChars="150"/>
        <w:rPr>
          <w:b w:val="0"/>
          <w:bCs w:val="0"/>
        </w:rPr>
      </w:pPr>
      <w:bookmarkStart w:id="73" w:name="_Toc16938541"/>
      <w:bookmarkStart w:id="74" w:name="_Toc20823297"/>
      <w:bookmarkStart w:id="75" w:name="_Toc513029225"/>
      <w:bookmarkStart w:id="76" w:name="_Toc462564084"/>
      <w:r>
        <w:rPr>
          <w:rFonts w:hint="eastAsia"/>
          <w:b w:val="0"/>
          <w:bCs w:val="0"/>
        </w:rPr>
        <w:t>13、响应文件的密封和标记</w:t>
      </w:r>
      <w:bookmarkEnd w:id="73"/>
      <w:bookmarkEnd w:id="74"/>
      <w:bookmarkEnd w:id="75"/>
      <w:bookmarkEnd w:id="76"/>
    </w:p>
    <w:p>
      <w:pPr>
        <w:spacing w:line="500" w:lineRule="exact"/>
        <w:ind w:firstLine="480" w:firstLineChars="200"/>
        <w:rPr>
          <w:rFonts w:ascii="宋体" w:hAnsi="宋体"/>
          <w:bCs/>
          <w:sz w:val="24"/>
        </w:rPr>
      </w:pPr>
      <w:r>
        <w:rPr>
          <w:rFonts w:hint="eastAsia" w:ascii="宋体" w:hAnsi="宋体"/>
          <w:sz w:val="24"/>
        </w:rPr>
        <w:t xml:space="preserve">13.1 </w:t>
      </w:r>
      <w:r>
        <w:rPr>
          <w:rFonts w:hint="eastAsia" w:ascii="宋体" w:hAnsi="宋体"/>
          <w:bCs/>
          <w:sz w:val="24"/>
        </w:rPr>
        <w:t>报名银行应将响应文件密封。</w:t>
      </w:r>
    </w:p>
    <w:p>
      <w:pPr>
        <w:spacing w:line="500" w:lineRule="exact"/>
        <w:ind w:firstLine="480" w:firstLineChars="200"/>
        <w:rPr>
          <w:rFonts w:ascii="宋体" w:hAnsi="宋体"/>
          <w:bCs/>
          <w:sz w:val="24"/>
        </w:rPr>
      </w:pPr>
      <w:r>
        <w:rPr>
          <w:rFonts w:hint="eastAsia" w:ascii="宋体" w:hAnsi="宋体"/>
          <w:sz w:val="24"/>
        </w:rPr>
        <w:t>13.2</w:t>
      </w:r>
      <w:r>
        <w:rPr>
          <w:rFonts w:hint="eastAsia" w:ascii="宋体" w:hAnsi="宋体"/>
          <w:bCs/>
          <w:sz w:val="24"/>
        </w:rPr>
        <w:t xml:space="preserve"> 密封的响应文件应：</w:t>
      </w:r>
    </w:p>
    <w:p>
      <w:pPr>
        <w:spacing w:line="500" w:lineRule="exact"/>
        <w:ind w:firstLine="480" w:firstLineChars="200"/>
        <w:rPr>
          <w:rFonts w:ascii="宋体" w:hAnsi="宋体"/>
          <w:bCs/>
          <w:sz w:val="24"/>
        </w:rPr>
      </w:pPr>
      <w:r>
        <w:rPr>
          <w:rFonts w:hint="eastAsia" w:ascii="宋体" w:hAnsi="宋体"/>
          <w:bCs/>
          <w:sz w:val="24"/>
        </w:rPr>
        <w:t>(1) 注明报名银行名称，如因标注不清而产生的后果由报名银行自负。按评选公告中注明的地址送达；</w:t>
      </w:r>
    </w:p>
    <w:p>
      <w:pPr>
        <w:spacing w:line="500" w:lineRule="exact"/>
        <w:ind w:firstLine="480" w:firstLineChars="200"/>
        <w:rPr>
          <w:rFonts w:ascii="宋体" w:hAnsi="宋体"/>
          <w:bCs/>
          <w:sz w:val="24"/>
        </w:rPr>
      </w:pPr>
      <w:r>
        <w:rPr>
          <w:rFonts w:hint="eastAsia" w:ascii="宋体" w:hAnsi="宋体"/>
          <w:bCs/>
          <w:sz w:val="24"/>
        </w:rPr>
        <w:t>(2) 注明项目名称及“请勿在2021年</w:t>
      </w:r>
      <w:r>
        <w:rPr>
          <w:rFonts w:hint="eastAsia" w:ascii="宋体" w:hAnsi="宋体"/>
          <w:bCs/>
          <w:sz w:val="24"/>
          <w:lang w:val="en-US" w:eastAsia="zh-CN"/>
        </w:rPr>
        <w:t xml:space="preserve">   </w:t>
      </w:r>
      <w:r>
        <w:rPr>
          <w:rFonts w:hint="eastAsia" w:ascii="宋体" w:hAnsi="宋体"/>
          <w:bCs/>
          <w:sz w:val="24"/>
        </w:rPr>
        <w:t>月   日</w:t>
      </w:r>
      <w:r>
        <w:rPr>
          <w:rFonts w:ascii="宋体" w:hAnsi="宋体"/>
          <w:bCs/>
          <w:sz w:val="24"/>
        </w:rPr>
        <w:t>9</w:t>
      </w:r>
      <w:r>
        <w:rPr>
          <w:rFonts w:hint="eastAsia" w:ascii="宋体" w:hAnsi="宋体"/>
          <w:bCs/>
          <w:sz w:val="24"/>
        </w:rPr>
        <w:t>时30分（截止时间）之前启封”的字样。</w:t>
      </w:r>
    </w:p>
    <w:p>
      <w:pPr>
        <w:pStyle w:val="6"/>
        <w:spacing w:before="0" w:after="0" w:line="240" w:lineRule="auto"/>
        <w:ind w:firstLine="420" w:firstLineChars="150"/>
        <w:rPr>
          <w:b w:val="0"/>
          <w:bCs w:val="0"/>
        </w:rPr>
      </w:pPr>
      <w:bookmarkStart w:id="77" w:name="_Toc513029226"/>
      <w:bookmarkStart w:id="78" w:name="_Toc16938542"/>
      <w:bookmarkStart w:id="79" w:name="_Toc20823298"/>
      <w:r>
        <w:rPr>
          <w:rFonts w:hint="eastAsia"/>
          <w:b w:val="0"/>
          <w:bCs w:val="0"/>
        </w:rPr>
        <w:t>14、响应文件递交截止</w:t>
      </w:r>
      <w:bookmarkEnd w:id="77"/>
      <w:bookmarkEnd w:id="78"/>
      <w:bookmarkEnd w:id="79"/>
      <w:r>
        <w:rPr>
          <w:rFonts w:hint="eastAsia"/>
          <w:b w:val="0"/>
          <w:bCs w:val="0"/>
        </w:rPr>
        <w:t>时间</w:t>
      </w:r>
    </w:p>
    <w:p>
      <w:pPr>
        <w:spacing w:line="500" w:lineRule="exact"/>
        <w:ind w:firstLine="480" w:firstLineChars="200"/>
        <w:rPr>
          <w:rFonts w:ascii="宋体" w:hAnsi="宋体"/>
          <w:bCs/>
          <w:sz w:val="24"/>
        </w:rPr>
      </w:pPr>
      <w:r>
        <w:rPr>
          <w:rFonts w:hint="eastAsia" w:ascii="宋体" w:hAnsi="宋体"/>
          <w:sz w:val="24"/>
        </w:rPr>
        <w:t>采购中心</w:t>
      </w:r>
      <w:r>
        <w:rPr>
          <w:rFonts w:hint="eastAsia" w:ascii="宋体" w:hAnsi="宋体"/>
          <w:bCs/>
          <w:sz w:val="24"/>
        </w:rPr>
        <w:t>收到响应文件的时间不得迟于评选公告中规定的截止时间。</w:t>
      </w:r>
    </w:p>
    <w:p>
      <w:pPr>
        <w:pStyle w:val="6"/>
        <w:spacing w:before="0" w:after="0" w:line="240" w:lineRule="auto"/>
        <w:ind w:firstLine="420" w:firstLineChars="150"/>
        <w:rPr>
          <w:b w:val="0"/>
          <w:bCs w:val="0"/>
        </w:rPr>
      </w:pPr>
      <w:bookmarkStart w:id="80" w:name="_Toc20823299"/>
      <w:bookmarkStart w:id="81" w:name="_Toc16938543"/>
      <w:bookmarkStart w:id="82" w:name="_Toc513029227"/>
      <w:r>
        <w:rPr>
          <w:rFonts w:hint="eastAsia"/>
          <w:b w:val="0"/>
          <w:bCs w:val="0"/>
        </w:rPr>
        <w:t>15、迟交的</w:t>
      </w:r>
      <w:bookmarkEnd w:id="80"/>
      <w:bookmarkEnd w:id="81"/>
      <w:bookmarkEnd w:id="82"/>
      <w:r>
        <w:rPr>
          <w:rFonts w:hint="eastAsia"/>
          <w:b w:val="0"/>
          <w:bCs w:val="0"/>
        </w:rPr>
        <w:t>响应文件</w:t>
      </w:r>
    </w:p>
    <w:p>
      <w:pPr>
        <w:spacing w:line="500" w:lineRule="exact"/>
        <w:ind w:firstLine="480" w:firstLineChars="200"/>
        <w:rPr>
          <w:rFonts w:ascii="宋体" w:hAnsi="宋体"/>
          <w:bCs/>
          <w:sz w:val="24"/>
        </w:rPr>
      </w:pPr>
      <w:r>
        <w:rPr>
          <w:rFonts w:hint="eastAsia" w:ascii="宋体" w:hAnsi="宋体"/>
          <w:sz w:val="24"/>
        </w:rPr>
        <w:t>采购中心</w:t>
      </w:r>
      <w:r>
        <w:rPr>
          <w:rFonts w:hint="eastAsia" w:ascii="宋体" w:hAnsi="宋体"/>
          <w:bCs/>
          <w:sz w:val="24"/>
        </w:rPr>
        <w:t>将拒绝并原封退回在其规定的截止时间后收到的任何响应文件。</w:t>
      </w:r>
    </w:p>
    <w:p>
      <w:pPr>
        <w:pStyle w:val="6"/>
        <w:spacing w:before="0" w:after="0" w:line="240" w:lineRule="auto"/>
        <w:ind w:firstLine="420" w:firstLineChars="150"/>
        <w:rPr>
          <w:b w:val="0"/>
          <w:bCs w:val="0"/>
        </w:rPr>
      </w:pPr>
      <w:bookmarkStart w:id="83" w:name="_Toc513029228"/>
      <w:bookmarkStart w:id="84" w:name="_Toc20823300"/>
      <w:bookmarkStart w:id="85" w:name="_Toc16938544"/>
      <w:r>
        <w:rPr>
          <w:rFonts w:hint="eastAsia"/>
          <w:b w:val="0"/>
          <w:bCs w:val="0"/>
        </w:rPr>
        <w:t>16、响应文件的修改和撤回</w:t>
      </w:r>
      <w:bookmarkEnd w:id="83"/>
      <w:bookmarkEnd w:id="84"/>
      <w:bookmarkEnd w:id="85"/>
    </w:p>
    <w:p>
      <w:pPr>
        <w:spacing w:line="480" w:lineRule="exact"/>
        <w:ind w:firstLine="480" w:firstLineChars="200"/>
        <w:rPr>
          <w:rFonts w:ascii="宋体" w:hAnsi="宋体"/>
          <w:sz w:val="24"/>
          <w:szCs w:val="24"/>
        </w:rPr>
      </w:pPr>
      <w:r>
        <w:rPr>
          <w:rFonts w:hint="eastAsia" w:ascii="宋体" w:hAnsi="宋体"/>
          <w:sz w:val="24"/>
        </w:rPr>
        <w:t>16.1</w:t>
      </w:r>
      <w:r>
        <w:rPr>
          <w:rFonts w:hint="eastAsia" w:ascii="宋体" w:hAnsi="宋体"/>
          <w:bCs/>
          <w:sz w:val="24"/>
        </w:rPr>
        <w:t xml:space="preserve"> 报名银行在递交响应文件后，可以修改或撤回其响应文件，但这种修改和撤回，必须在规定截止时间前，以书面形式</w:t>
      </w:r>
      <w:r>
        <w:rPr>
          <w:rFonts w:hint="eastAsia" w:ascii="宋体" w:hAnsi="宋体"/>
          <w:sz w:val="24"/>
          <w:szCs w:val="24"/>
        </w:rPr>
        <w:t>通知</w:t>
      </w:r>
      <w:r>
        <w:rPr>
          <w:rFonts w:hint="eastAsia" w:ascii="宋体" w:hAnsi="宋体"/>
          <w:sz w:val="24"/>
        </w:rPr>
        <w:t>采购中心</w:t>
      </w:r>
      <w:r>
        <w:rPr>
          <w:rFonts w:hint="eastAsia" w:ascii="宋体" w:hAnsi="宋体"/>
          <w:sz w:val="24"/>
          <w:szCs w:val="24"/>
        </w:rPr>
        <w:t>，修改或撤回其响应文件。</w:t>
      </w:r>
    </w:p>
    <w:p>
      <w:pPr>
        <w:spacing w:line="480" w:lineRule="exact"/>
        <w:ind w:firstLine="480" w:firstLineChars="200"/>
        <w:rPr>
          <w:rFonts w:ascii="宋体" w:hAnsi="宋体"/>
          <w:sz w:val="24"/>
          <w:szCs w:val="24"/>
        </w:rPr>
      </w:pPr>
      <w:r>
        <w:rPr>
          <w:rFonts w:hint="eastAsia" w:ascii="宋体" w:hAnsi="宋体"/>
          <w:sz w:val="24"/>
        </w:rPr>
        <w:t>16.2</w:t>
      </w:r>
      <w:r>
        <w:rPr>
          <w:rFonts w:hint="eastAsia" w:ascii="宋体" w:hAnsi="宋体"/>
          <w:bCs/>
          <w:sz w:val="24"/>
        </w:rPr>
        <w:t xml:space="preserve"> 报名银行的修改或撤回文件应按规定进行编制、密封、标记和发送，并应在封套上加注“修改</w:t>
      </w:r>
      <w:r>
        <w:rPr>
          <w:rFonts w:ascii="宋体" w:hAnsi="宋体"/>
          <w:bCs/>
          <w:sz w:val="24"/>
        </w:rPr>
        <w:t>”</w:t>
      </w:r>
      <w:r>
        <w:rPr>
          <w:rFonts w:hint="eastAsia" w:ascii="宋体" w:hAnsi="宋体"/>
          <w:bCs/>
          <w:sz w:val="24"/>
        </w:rPr>
        <w:t>和“撤回</w:t>
      </w:r>
      <w:r>
        <w:rPr>
          <w:rFonts w:ascii="宋体" w:hAnsi="宋体"/>
          <w:bCs/>
          <w:sz w:val="24"/>
        </w:rPr>
        <w:t>”</w:t>
      </w:r>
      <w:r>
        <w:rPr>
          <w:rFonts w:hint="eastAsia" w:ascii="宋体" w:hAnsi="宋体"/>
          <w:bCs/>
          <w:sz w:val="24"/>
        </w:rPr>
        <w:t>字样。</w:t>
      </w:r>
      <w:r>
        <w:rPr>
          <w:rFonts w:hint="eastAsia" w:ascii="宋体" w:hAnsi="宋体"/>
          <w:bCs/>
          <w:sz w:val="24"/>
          <w:szCs w:val="24"/>
        </w:rPr>
        <w:t>上述补充或修改若涉及响应利率报价，必须注明“最后唯一报价”字样，否则将视为选择性报价。</w:t>
      </w:r>
      <w:r>
        <w:rPr>
          <w:rFonts w:hint="eastAsia" w:ascii="宋体" w:hAnsi="宋体"/>
          <w:sz w:val="24"/>
          <w:szCs w:val="24"/>
        </w:rPr>
        <w:t>修改文件必须在截止时间前送达</w:t>
      </w:r>
      <w:r>
        <w:rPr>
          <w:rFonts w:hint="eastAsia" w:ascii="宋体" w:hAnsi="宋体"/>
          <w:sz w:val="24"/>
        </w:rPr>
        <w:t>采购中心</w:t>
      </w:r>
      <w:r>
        <w:rPr>
          <w:rFonts w:hint="eastAsia" w:ascii="宋体" w:hAnsi="宋体"/>
          <w:sz w:val="24"/>
          <w:szCs w:val="24"/>
        </w:rPr>
        <w:t>。</w:t>
      </w:r>
    </w:p>
    <w:p>
      <w:pPr>
        <w:spacing w:line="480" w:lineRule="exact"/>
        <w:ind w:firstLine="480" w:firstLineChars="200"/>
        <w:rPr>
          <w:rFonts w:ascii="宋体" w:hAnsi="宋体"/>
          <w:sz w:val="24"/>
          <w:szCs w:val="24"/>
        </w:rPr>
      </w:pPr>
      <w:r>
        <w:rPr>
          <w:rFonts w:hint="eastAsia" w:ascii="宋体" w:hAnsi="宋体"/>
          <w:sz w:val="24"/>
          <w:szCs w:val="24"/>
        </w:rPr>
        <w:t>16.3 除报名银行对错漏处做必要修改外，响应文件不得行间插字、涂改或增删。如有修改错漏处，必须加盖单位公章且授权代表亲笔签名。</w:t>
      </w:r>
    </w:p>
    <w:p>
      <w:pPr>
        <w:spacing w:line="500" w:lineRule="exact"/>
        <w:ind w:firstLine="480" w:firstLineChars="200"/>
        <w:rPr>
          <w:rFonts w:ascii="宋体" w:hAnsi="宋体"/>
          <w:bCs/>
          <w:sz w:val="24"/>
        </w:rPr>
      </w:pPr>
      <w:r>
        <w:rPr>
          <w:rFonts w:hint="eastAsia" w:ascii="宋体" w:hAnsi="宋体"/>
          <w:sz w:val="24"/>
        </w:rPr>
        <w:t>16.4</w:t>
      </w:r>
      <w:r>
        <w:rPr>
          <w:rFonts w:hint="eastAsia" w:ascii="宋体" w:hAnsi="宋体"/>
          <w:bCs/>
          <w:sz w:val="24"/>
        </w:rPr>
        <w:t xml:space="preserve"> 在现场评选开始时间之后，报名银行不得对其响应文件作任何修改。</w:t>
      </w:r>
    </w:p>
    <w:p>
      <w:pPr>
        <w:pStyle w:val="5"/>
        <w:spacing w:before="145" w:beforeLines="50" w:after="145" w:afterLines="50" w:line="360" w:lineRule="auto"/>
        <w:ind w:firstLine="482" w:firstLineChars="150"/>
      </w:pPr>
      <w:bookmarkStart w:id="86" w:name="_Toc16938545"/>
      <w:bookmarkStart w:id="87" w:name="_Toc120614218"/>
      <w:bookmarkStart w:id="88" w:name="_Toc513029229"/>
      <w:bookmarkStart w:id="89" w:name="_Toc20823301"/>
      <w:bookmarkStart w:id="90" w:name="_Toc513029234"/>
      <w:bookmarkStart w:id="91" w:name="_Toc16938550"/>
      <w:bookmarkStart w:id="92" w:name="_Toc20823306"/>
      <w:r>
        <w:rPr>
          <w:rFonts w:hint="eastAsia"/>
        </w:rPr>
        <w:t>五、</w:t>
      </w:r>
      <w:bookmarkEnd w:id="86"/>
      <w:bookmarkEnd w:id="87"/>
      <w:bookmarkEnd w:id="88"/>
      <w:bookmarkEnd w:id="89"/>
      <w:r>
        <w:rPr>
          <w:rFonts w:hint="eastAsia"/>
        </w:rPr>
        <w:t>现场评选</w:t>
      </w:r>
    </w:p>
    <w:p>
      <w:pPr>
        <w:pStyle w:val="6"/>
        <w:spacing w:before="0" w:after="0" w:line="240" w:lineRule="auto"/>
        <w:ind w:firstLine="420" w:firstLineChars="150"/>
        <w:rPr>
          <w:b w:val="0"/>
          <w:bCs w:val="0"/>
        </w:rPr>
      </w:pPr>
      <w:bookmarkStart w:id="93" w:name="_Toc513029230"/>
      <w:bookmarkStart w:id="94" w:name="_Toc16938546"/>
      <w:bookmarkStart w:id="95" w:name="_Toc20823302"/>
      <w:r>
        <w:rPr>
          <w:rFonts w:hint="eastAsia"/>
          <w:b w:val="0"/>
          <w:bCs w:val="0"/>
        </w:rPr>
        <w:t>17、现场评</w:t>
      </w:r>
      <w:bookmarkEnd w:id="93"/>
      <w:bookmarkEnd w:id="94"/>
      <w:bookmarkEnd w:id="95"/>
      <w:r>
        <w:rPr>
          <w:rFonts w:hint="eastAsia"/>
          <w:b w:val="0"/>
          <w:bCs w:val="0"/>
        </w:rPr>
        <w:t>选</w:t>
      </w:r>
    </w:p>
    <w:p>
      <w:pPr>
        <w:spacing w:line="480" w:lineRule="exact"/>
        <w:ind w:firstLine="480" w:firstLineChars="200"/>
        <w:rPr>
          <w:rFonts w:ascii="宋体" w:hAnsi="宋体"/>
          <w:sz w:val="24"/>
          <w:szCs w:val="24"/>
        </w:rPr>
      </w:pPr>
      <w:r>
        <w:rPr>
          <w:rFonts w:hint="eastAsia" w:ascii="宋体" w:hAnsi="宋体"/>
          <w:sz w:val="24"/>
        </w:rPr>
        <w:t>17.1</w:t>
      </w:r>
      <w:r>
        <w:rPr>
          <w:rFonts w:hint="eastAsia" w:ascii="宋体" w:hAnsi="宋体"/>
          <w:bCs/>
          <w:sz w:val="24"/>
        </w:rPr>
        <w:t xml:space="preserve"> </w:t>
      </w:r>
      <w:r>
        <w:rPr>
          <w:rFonts w:hint="eastAsia" w:ascii="宋体" w:hAnsi="宋体"/>
          <w:sz w:val="24"/>
        </w:rPr>
        <w:t>采购中心</w:t>
      </w:r>
      <w:r>
        <w:rPr>
          <w:rFonts w:hint="eastAsia" w:ascii="宋体" w:hAnsi="宋体"/>
          <w:bCs/>
          <w:sz w:val="24"/>
        </w:rPr>
        <w:t>将在公告中规定的时间和地点组织现场评选</w:t>
      </w:r>
      <w:r>
        <w:rPr>
          <w:rFonts w:hint="eastAsia" w:ascii="宋体" w:hAnsi="宋体"/>
          <w:sz w:val="24"/>
          <w:szCs w:val="24"/>
        </w:rPr>
        <w:t>。报名银行应委派携带有效证件的授权代表准时参加。</w:t>
      </w:r>
    </w:p>
    <w:p>
      <w:pPr>
        <w:spacing w:line="500" w:lineRule="exact"/>
        <w:ind w:firstLine="480" w:firstLineChars="200"/>
        <w:rPr>
          <w:rFonts w:ascii="宋体" w:hAnsi="宋体"/>
          <w:bCs/>
          <w:sz w:val="24"/>
        </w:rPr>
      </w:pPr>
      <w:r>
        <w:rPr>
          <w:rFonts w:hint="eastAsia" w:ascii="宋体" w:hAnsi="宋体"/>
          <w:sz w:val="24"/>
        </w:rPr>
        <w:t>17.2</w:t>
      </w:r>
      <w:r>
        <w:rPr>
          <w:rFonts w:hint="eastAsia" w:ascii="宋体" w:hAnsi="宋体"/>
          <w:b/>
          <w:sz w:val="24"/>
        </w:rPr>
        <w:t xml:space="preserve"> </w:t>
      </w:r>
      <w:r>
        <w:rPr>
          <w:rFonts w:hint="eastAsia" w:ascii="宋体" w:hAnsi="宋体"/>
          <w:bCs/>
          <w:sz w:val="24"/>
        </w:rPr>
        <w:t>按照规定同意撤回的响应文件将不予开封。</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3 报名银行在报价时不允许采用选择性报价，否则视为无效响应。</w:t>
      </w:r>
    </w:p>
    <w:p>
      <w:pPr>
        <w:spacing w:line="480" w:lineRule="exact"/>
        <w:ind w:firstLine="480" w:firstLineChars="200"/>
        <w:rPr>
          <w:rFonts w:ascii="宋体" w:hAnsi="宋体"/>
          <w:sz w:val="24"/>
          <w:szCs w:val="24"/>
        </w:rPr>
      </w:pPr>
      <w:r>
        <w:rPr>
          <w:rFonts w:hint="eastAsia" w:ascii="宋体" w:hAnsi="宋体"/>
          <w:sz w:val="24"/>
          <w:szCs w:val="24"/>
        </w:rPr>
        <w:t>17.4 现场评选开始仪式由采购中心组织，评选委托方代表、公证员（必要时）、报名银行授权代表等参加。</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5 评选开始仪式时由报名银行推选的代表查验响应文件密封情况，确认无误后，采购中心当众拆封宣读每份响应文件中“响应利率报价一览表”的内容，未列入一览表的内容一律不在评选开始仪式时宣读。评选开始仪式时未宣读的响应报价信息，不得在评选时采用。</w:t>
      </w:r>
    </w:p>
    <w:p>
      <w:pPr>
        <w:spacing w:line="480" w:lineRule="exact"/>
        <w:ind w:firstLine="480" w:firstLineChars="200"/>
        <w:rPr>
          <w:rFonts w:ascii="宋体" w:hAnsi="宋体"/>
          <w:sz w:val="24"/>
          <w:szCs w:val="24"/>
        </w:rPr>
      </w:pPr>
      <w:r>
        <w:rPr>
          <w:rFonts w:hint="eastAsia" w:ascii="宋体" w:hAnsi="宋体"/>
          <w:sz w:val="24"/>
          <w:szCs w:val="24"/>
        </w:rPr>
        <w:t>17</w:t>
      </w:r>
      <w:r>
        <w:rPr>
          <w:rFonts w:ascii="宋体" w:hAnsi="宋体"/>
          <w:sz w:val="24"/>
          <w:szCs w:val="24"/>
        </w:rPr>
        <w:t>.</w:t>
      </w:r>
      <w:r>
        <w:rPr>
          <w:rFonts w:hint="eastAsia" w:ascii="宋体" w:hAnsi="宋体"/>
          <w:sz w:val="24"/>
          <w:szCs w:val="24"/>
        </w:rPr>
        <w:t>6 采购中心将指定专人负责“响应利率报价一览表”记录，各报名银行需仔细核对现场记录的相关内容并签字确认。</w:t>
      </w:r>
    </w:p>
    <w:p>
      <w:pPr>
        <w:pStyle w:val="6"/>
        <w:spacing w:before="0" w:after="0" w:line="240" w:lineRule="auto"/>
        <w:ind w:firstLine="420" w:firstLineChars="150"/>
        <w:rPr>
          <w:b w:val="0"/>
          <w:bCs w:val="0"/>
        </w:rPr>
      </w:pPr>
      <w:bookmarkStart w:id="96" w:name="_Toc513029231"/>
      <w:bookmarkStart w:id="97" w:name="_Toc20823303"/>
      <w:bookmarkStart w:id="98" w:name="_Toc16938547"/>
      <w:r>
        <w:rPr>
          <w:rFonts w:hint="eastAsia"/>
          <w:b w:val="0"/>
          <w:bCs w:val="0"/>
        </w:rPr>
        <w:t>18、评选委员会</w:t>
      </w:r>
    </w:p>
    <w:p>
      <w:pPr>
        <w:spacing w:line="480" w:lineRule="exact"/>
        <w:ind w:firstLine="480" w:firstLineChars="200"/>
        <w:rPr>
          <w:rFonts w:ascii="宋体" w:hAnsi="宋体"/>
          <w:sz w:val="24"/>
          <w:szCs w:val="24"/>
        </w:rPr>
      </w:pPr>
      <w:r>
        <w:rPr>
          <w:rFonts w:ascii="宋体" w:hAnsi="宋体"/>
          <w:sz w:val="24"/>
          <w:szCs w:val="24"/>
        </w:rPr>
        <w:t>18.1</w:t>
      </w:r>
      <w:r>
        <w:rPr>
          <w:rFonts w:hint="eastAsia" w:ascii="宋体" w:hAnsi="宋体"/>
          <w:sz w:val="24"/>
          <w:szCs w:val="24"/>
        </w:rPr>
        <w:t>江苏省机关事务管理局负责组织成立评选委员会（以下简称评委会），采购中心根据江苏省机关事务管理局的委托负责项目评选现场的组织工作和评选活动。</w:t>
      </w:r>
    </w:p>
    <w:p>
      <w:pPr>
        <w:spacing w:line="480" w:lineRule="exact"/>
        <w:ind w:firstLine="480" w:firstLineChars="200"/>
        <w:rPr>
          <w:rFonts w:ascii="宋体" w:hAnsi="宋体"/>
          <w:sz w:val="24"/>
          <w:szCs w:val="24"/>
        </w:rPr>
      </w:pPr>
      <w:r>
        <w:rPr>
          <w:rFonts w:hint="eastAsia" w:ascii="宋体" w:hAnsi="宋体"/>
          <w:sz w:val="24"/>
          <w:szCs w:val="24"/>
        </w:rPr>
        <w:t>18.2 评委会由行业专家、评选委托方代表组成，且人员构成须符合回避原则及相关法律法规要求。</w:t>
      </w:r>
    </w:p>
    <w:p>
      <w:pPr>
        <w:spacing w:line="480" w:lineRule="exact"/>
        <w:ind w:firstLine="480" w:firstLineChars="200"/>
        <w:rPr>
          <w:rFonts w:ascii="宋体" w:hAnsi="宋体"/>
          <w:sz w:val="24"/>
          <w:szCs w:val="24"/>
        </w:rPr>
      </w:pPr>
      <w:r>
        <w:rPr>
          <w:rFonts w:hint="eastAsia" w:ascii="宋体" w:hAnsi="宋体"/>
          <w:sz w:val="24"/>
          <w:szCs w:val="24"/>
        </w:rPr>
        <w:t>18.3 评委会应以科学、公正的态度参加现场评选工作并推荐候选银行。评选专家在现场评选过程中不受任何干扰，独立、负责地提出评选意见，并对自己的评选意见承担责任。</w:t>
      </w:r>
    </w:p>
    <w:p>
      <w:pPr>
        <w:spacing w:line="480" w:lineRule="exact"/>
        <w:rPr>
          <w:rFonts w:ascii="宋体" w:hAnsi="宋体"/>
          <w:sz w:val="24"/>
          <w:szCs w:val="24"/>
        </w:rPr>
      </w:pPr>
      <w:r>
        <w:rPr>
          <w:rFonts w:hint="eastAsia" w:ascii="宋体" w:hAnsi="宋体"/>
          <w:sz w:val="24"/>
          <w:szCs w:val="24"/>
        </w:rPr>
        <w:t xml:space="preserve">    18.4 评委会将对报名银行的商业、技术秘密予以保密。</w:t>
      </w:r>
    </w:p>
    <w:p>
      <w:pPr>
        <w:pStyle w:val="6"/>
        <w:spacing w:before="0" w:after="0" w:line="240" w:lineRule="auto"/>
        <w:ind w:firstLine="420" w:firstLineChars="150"/>
        <w:rPr>
          <w:rFonts w:ascii="黑体"/>
          <w:b w:val="0"/>
          <w:bCs w:val="0"/>
        </w:rPr>
      </w:pPr>
      <w:r>
        <w:rPr>
          <w:rFonts w:hint="eastAsia" w:ascii="黑体"/>
          <w:b w:val="0"/>
          <w:bCs w:val="0"/>
        </w:rPr>
        <w:t>19．现场评选过程的保密</w:t>
      </w:r>
      <w:bookmarkEnd w:id="96"/>
      <w:bookmarkEnd w:id="97"/>
      <w:bookmarkEnd w:id="98"/>
      <w:r>
        <w:rPr>
          <w:rFonts w:hint="eastAsia" w:ascii="黑体"/>
          <w:b w:val="0"/>
          <w:bCs w:val="0"/>
        </w:rPr>
        <w:t>与公正</w:t>
      </w:r>
    </w:p>
    <w:p>
      <w:pPr>
        <w:spacing w:line="500" w:lineRule="exact"/>
        <w:ind w:firstLine="480" w:firstLineChars="200"/>
        <w:rPr>
          <w:rFonts w:ascii="宋体" w:hAnsi="宋体"/>
          <w:bCs/>
          <w:sz w:val="24"/>
        </w:rPr>
      </w:pPr>
      <w:r>
        <w:rPr>
          <w:rFonts w:hint="eastAsia" w:ascii="宋体" w:hAnsi="宋体"/>
          <w:sz w:val="24"/>
        </w:rPr>
        <w:t xml:space="preserve">19.1 </w:t>
      </w:r>
      <w:r>
        <w:rPr>
          <w:rFonts w:hint="eastAsia" w:ascii="宋体" w:hAnsi="宋体"/>
          <w:bCs/>
          <w:sz w:val="24"/>
        </w:rPr>
        <w:t>现场评选开始后，直至向候选银行授予协议时止，凡是与审查、澄清、评价和比较有关的信息，均不得向报名银行或与评选无关的其他人员透露。</w:t>
      </w:r>
    </w:p>
    <w:p>
      <w:pPr>
        <w:spacing w:line="480" w:lineRule="exact"/>
        <w:ind w:firstLine="480" w:firstLineChars="200"/>
        <w:rPr>
          <w:rFonts w:ascii="宋体" w:hAnsi="宋体"/>
          <w:sz w:val="24"/>
          <w:szCs w:val="24"/>
        </w:rPr>
      </w:pPr>
      <w:r>
        <w:rPr>
          <w:rFonts w:hint="eastAsia" w:ascii="宋体" w:hAnsi="宋体"/>
          <w:sz w:val="24"/>
        </w:rPr>
        <w:t xml:space="preserve">19.2 </w:t>
      </w:r>
      <w:r>
        <w:rPr>
          <w:rFonts w:hint="eastAsia" w:ascii="宋体" w:hAnsi="宋体"/>
          <w:sz w:val="24"/>
          <w:szCs w:val="24"/>
        </w:rPr>
        <w:t>在现场评选过程中，如果报名银行试图向</w:t>
      </w:r>
      <w:r>
        <w:rPr>
          <w:rFonts w:hint="eastAsia" w:ascii="宋体" w:hAnsi="宋体"/>
          <w:sz w:val="24"/>
        </w:rPr>
        <w:t>采购中心</w:t>
      </w:r>
      <w:r>
        <w:rPr>
          <w:rFonts w:hint="eastAsia" w:ascii="宋体" w:hAnsi="宋体"/>
          <w:sz w:val="24"/>
          <w:szCs w:val="24"/>
        </w:rPr>
        <w:t>和参与现场评选的人员施加任何影响，都将会导致其被拒绝。</w:t>
      </w:r>
    </w:p>
    <w:p>
      <w:pPr>
        <w:spacing w:line="480" w:lineRule="exact"/>
        <w:ind w:firstLine="480" w:firstLineChars="200"/>
        <w:rPr>
          <w:rFonts w:ascii="宋体" w:hAnsi="宋体"/>
          <w:sz w:val="24"/>
          <w:szCs w:val="24"/>
        </w:rPr>
      </w:pPr>
      <w:r>
        <w:rPr>
          <w:rFonts w:hint="eastAsia" w:ascii="宋体" w:hAnsi="宋体"/>
          <w:sz w:val="24"/>
        </w:rPr>
        <w:t xml:space="preserve">19.3 </w:t>
      </w:r>
      <w:r>
        <w:rPr>
          <w:rFonts w:hint="eastAsia" w:ascii="宋体" w:hAnsi="宋体"/>
          <w:sz w:val="24"/>
          <w:szCs w:val="24"/>
        </w:rPr>
        <w:t>在现场评选过程中，采购中心将设专门人员与报名银行联系。</w:t>
      </w:r>
    </w:p>
    <w:p>
      <w:pPr>
        <w:spacing w:line="480" w:lineRule="exact"/>
        <w:ind w:firstLine="480" w:firstLineChars="200"/>
        <w:rPr>
          <w:rFonts w:ascii="宋体" w:hAnsi="宋体"/>
          <w:sz w:val="24"/>
          <w:szCs w:val="24"/>
        </w:rPr>
      </w:pPr>
      <w:r>
        <w:rPr>
          <w:rFonts w:hint="eastAsia" w:ascii="宋体" w:hAnsi="宋体"/>
          <w:sz w:val="24"/>
        </w:rPr>
        <w:t>19</w:t>
      </w:r>
      <w:r>
        <w:rPr>
          <w:rFonts w:hint="eastAsia" w:ascii="宋体" w:hAnsi="宋体"/>
          <w:sz w:val="24"/>
          <w:szCs w:val="24"/>
        </w:rPr>
        <w:t>.4 采购中心和评委会不向落选的报名银行解释未中选原因，也不公布现场评选过程中的相关细节。</w:t>
      </w:r>
    </w:p>
    <w:p>
      <w:pPr>
        <w:pStyle w:val="6"/>
        <w:spacing w:before="0" w:after="0" w:line="240" w:lineRule="auto"/>
        <w:ind w:firstLine="420" w:firstLineChars="150"/>
        <w:rPr>
          <w:rFonts w:ascii="黑体"/>
          <w:b w:val="0"/>
          <w:bCs w:val="0"/>
        </w:rPr>
      </w:pPr>
      <w:bookmarkStart w:id="99" w:name="_Toc513029232"/>
      <w:bookmarkStart w:id="100" w:name="_Toc16938548"/>
      <w:bookmarkStart w:id="101" w:name="_Toc20823304"/>
      <w:r>
        <w:rPr>
          <w:rFonts w:hint="eastAsia" w:ascii="黑体"/>
          <w:b w:val="0"/>
          <w:bCs w:val="0"/>
        </w:rPr>
        <w:t>20．响应的澄清</w:t>
      </w:r>
      <w:bookmarkEnd w:id="99"/>
      <w:bookmarkEnd w:id="100"/>
      <w:bookmarkEnd w:id="101"/>
    </w:p>
    <w:p>
      <w:pPr>
        <w:spacing w:line="480" w:lineRule="exact"/>
        <w:ind w:firstLine="480" w:firstLineChars="200"/>
        <w:rPr>
          <w:rFonts w:ascii="宋体" w:hAnsi="宋体"/>
          <w:sz w:val="24"/>
          <w:szCs w:val="24"/>
        </w:rPr>
      </w:pPr>
      <w:r>
        <w:rPr>
          <w:rFonts w:hint="eastAsia" w:ascii="宋体" w:hAnsi="宋体"/>
          <w:sz w:val="24"/>
          <w:szCs w:val="24"/>
        </w:rPr>
        <w:t>20.</w:t>
      </w:r>
      <w:r>
        <w:rPr>
          <w:rFonts w:ascii="宋体" w:hAnsi="宋体"/>
          <w:sz w:val="24"/>
          <w:szCs w:val="24"/>
        </w:rPr>
        <w:t>1</w:t>
      </w:r>
      <w:r>
        <w:rPr>
          <w:rFonts w:hint="eastAsia" w:ascii="宋体" w:hAnsi="宋体"/>
          <w:sz w:val="24"/>
          <w:szCs w:val="24"/>
        </w:rPr>
        <w:t xml:space="preserve"> 现场评选期间，为有助于对响应文件的审查、评价和比较，评委会有权要求报名银行对其响应文件进行澄清，但并非对每个报名银行都作澄清要求。</w:t>
      </w:r>
    </w:p>
    <w:p>
      <w:pPr>
        <w:spacing w:line="480" w:lineRule="exact"/>
        <w:rPr>
          <w:rFonts w:ascii="宋体" w:hAnsi="宋体"/>
          <w:sz w:val="24"/>
          <w:szCs w:val="24"/>
        </w:rPr>
      </w:pPr>
      <w:r>
        <w:rPr>
          <w:rFonts w:hint="eastAsia" w:ascii="宋体" w:hAnsi="宋体"/>
          <w:sz w:val="24"/>
          <w:szCs w:val="24"/>
        </w:rPr>
        <w:t xml:space="preserve">    20.2 接到评委会澄清要求的报名银行应派人按评委会通知的时间和地点做出书面澄清，书面澄清的内容须由报名银行单位负责人或授权代表签署，并作为响应文件的补充部分，但响应利率报价和实质性的内容不得做任何更改。</w:t>
      </w:r>
    </w:p>
    <w:p>
      <w:pPr>
        <w:spacing w:line="480" w:lineRule="exact"/>
        <w:rPr>
          <w:rFonts w:ascii="宋体" w:hAnsi="宋体"/>
          <w:sz w:val="24"/>
          <w:szCs w:val="24"/>
        </w:rPr>
      </w:pPr>
      <w:r>
        <w:rPr>
          <w:rFonts w:hint="eastAsia" w:ascii="宋体" w:hAnsi="宋体"/>
          <w:sz w:val="24"/>
          <w:szCs w:val="24"/>
        </w:rPr>
        <w:t xml:space="preserve">    20.3 接到评委会澄清要求的报名银行如未按规定做出澄清，其风险由报名银行自行承担。</w:t>
      </w:r>
    </w:p>
    <w:p>
      <w:pPr>
        <w:pStyle w:val="6"/>
        <w:spacing w:before="0" w:after="0" w:line="240" w:lineRule="auto"/>
        <w:ind w:firstLine="420" w:firstLineChars="150"/>
        <w:rPr>
          <w:b w:val="0"/>
          <w:bCs w:val="0"/>
        </w:rPr>
      </w:pPr>
      <w:bookmarkStart w:id="102" w:name="_Toc16938549"/>
      <w:bookmarkStart w:id="103" w:name="_Toc513029233"/>
      <w:bookmarkStart w:id="104" w:name="_Toc20823305"/>
      <w:r>
        <w:rPr>
          <w:rFonts w:hint="eastAsia"/>
          <w:b w:val="0"/>
          <w:bCs w:val="0"/>
        </w:rPr>
        <w:t>21、对响应文件的初审</w:t>
      </w:r>
      <w:bookmarkEnd w:id="102"/>
      <w:bookmarkEnd w:id="103"/>
      <w:bookmarkEnd w:id="104"/>
    </w:p>
    <w:p>
      <w:pPr>
        <w:spacing w:line="460" w:lineRule="exact"/>
        <w:ind w:firstLine="480" w:firstLineChars="200"/>
        <w:rPr>
          <w:rFonts w:ascii="宋体" w:hAnsi="宋体"/>
          <w:bCs/>
          <w:sz w:val="24"/>
        </w:rPr>
      </w:pPr>
      <w:r>
        <w:rPr>
          <w:rFonts w:hint="eastAsia" w:ascii="宋体" w:hAnsi="宋体"/>
          <w:bCs/>
          <w:sz w:val="24"/>
        </w:rPr>
        <w:t>响应文件初审分为资格性检查和符合性检查。</w:t>
      </w:r>
    </w:p>
    <w:p>
      <w:pPr>
        <w:spacing w:line="460" w:lineRule="exact"/>
        <w:ind w:firstLine="480" w:firstLineChars="200"/>
        <w:rPr>
          <w:rFonts w:ascii="宋体" w:hAnsi="宋体"/>
          <w:bCs/>
          <w:sz w:val="24"/>
        </w:rPr>
      </w:pPr>
      <w:r>
        <w:rPr>
          <w:rFonts w:hint="eastAsia" w:ascii="宋体" w:hAnsi="宋体"/>
          <w:bCs/>
          <w:sz w:val="24"/>
        </w:rPr>
        <w:t>资格性检查：依据评选文件的规定，对响应文件中的资质证明文件进行审查，以确定报名银行是否符合资质要求。</w:t>
      </w:r>
    </w:p>
    <w:p>
      <w:pPr>
        <w:spacing w:line="460" w:lineRule="exact"/>
        <w:ind w:firstLine="480" w:firstLineChars="200"/>
        <w:rPr>
          <w:rFonts w:ascii="宋体" w:hAnsi="宋体"/>
          <w:bCs/>
          <w:sz w:val="24"/>
        </w:rPr>
      </w:pPr>
      <w:r>
        <w:rPr>
          <w:rFonts w:hint="eastAsia" w:ascii="宋体" w:hAnsi="宋体"/>
          <w:bCs/>
          <w:sz w:val="24"/>
        </w:rPr>
        <w:t>符合性检查：依据评选文件的规定，从响应文件的有效性、完整性和对响应文件的响应程度进行审查，以确定是否对评选文件的实质性要求作出响应。</w:t>
      </w:r>
    </w:p>
    <w:p>
      <w:pPr>
        <w:pStyle w:val="6"/>
        <w:spacing w:before="0" w:after="0" w:line="240" w:lineRule="auto"/>
        <w:ind w:firstLine="420" w:firstLineChars="150"/>
        <w:rPr>
          <w:b w:val="0"/>
          <w:bCs w:val="0"/>
        </w:rPr>
      </w:pPr>
      <w:r>
        <w:rPr>
          <w:rFonts w:hint="eastAsia"/>
          <w:b w:val="0"/>
          <w:bCs w:val="0"/>
        </w:rPr>
        <w:t>22、无效响应条款</w:t>
      </w:r>
    </w:p>
    <w:p>
      <w:pPr>
        <w:spacing w:line="440" w:lineRule="exact"/>
        <w:ind w:left="479" w:leftChars="228"/>
        <w:rPr>
          <w:rFonts w:ascii="宋体" w:hAnsi="宋体"/>
          <w:bCs/>
          <w:sz w:val="24"/>
        </w:rPr>
      </w:pPr>
      <w:r>
        <w:rPr>
          <w:rFonts w:hint="eastAsia" w:ascii="宋体" w:hAnsi="宋体"/>
          <w:bCs/>
          <w:sz w:val="24"/>
        </w:rPr>
        <w:t>无效响应条款有：</w:t>
      </w:r>
    </w:p>
    <w:p>
      <w:pPr>
        <w:numPr>
          <w:ilvl w:val="0"/>
          <w:numId w:val="5"/>
        </w:numPr>
        <w:spacing w:line="440" w:lineRule="exact"/>
        <w:ind w:firstLine="480" w:firstLineChars="200"/>
        <w:rPr>
          <w:rFonts w:ascii="宋体" w:hAnsi="宋体"/>
          <w:bCs/>
          <w:sz w:val="24"/>
        </w:rPr>
      </w:pPr>
      <w:r>
        <w:rPr>
          <w:rFonts w:hint="eastAsia" w:ascii="宋体" w:hAnsi="宋体"/>
          <w:bCs/>
          <w:sz w:val="24"/>
        </w:rPr>
        <w:t>未按照评选文件规定要求密封、签署、盖章的；</w:t>
      </w:r>
    </w:p>
    <w:p>
      <w:pPr>
        <w:numPr>
          <w:ilvl w:val="0"/>
          <w:numId w:val="5"/>
        </w:numPr>
        <w:spacing w:line="440" w:lineRule="exact"/>
        <w:ind w:firstLine="480" w:firstLineChars="200"/>
        <w:rPr>
          <w:rFonts w:ascii="宋体" w:hAnsi="宋体"/>
          <w:bCs/>
          <w:sz w:val="24"/>
        </w:rPr>
      </w:pPr>
      <w:r>
        <w:rPr>
          <w:rFonts w:hint="eastAsia" w:ascii="宋体" w:hAnsi="宋体"/>
          <w:bCs/>
          <w:sz w:val="24"/>
        </w:rPr>
        <w:t>报名银行在报价时采用选择性报价；</w:t>
      </w:r>
    </w:p>
    <w:p>
      <w:pPr>
        <w:numPr>
          <w:ilvl w:val="0"/>
          <w:numId w:val="5"/>
        </w:numPr>
        <w:spacing w:line="440" w:lineRule="exact"/>
        <w:ind w:firstLine="480" w:firstLineChars="200"/>
        <w:rPr>
          <w:rFonts w:ascii="宋体" w:hAnsi="宋体"/>
          <w:bCs/>
          <w:sz w:val="24"/>
        </w:rPr>
      </w:pPr>
      <w:r>
        <w:rPr>
          <w:rFonts w:hint="eastAsia" w:ascii="宋体" w:hAnsi="宋体"/>
          <w:bCs/>
          <w:sz w:val="24"/>
        </w:rPr>
        <w:t>报名银行不在评选文件中规定评选银行范围内的；</w:t>
      </w:r>
    </w:p>
    <w:p>
      <w:pPr>
        <w:numPr>
          <w:ilvl w:val="0"/>
          <w:numId w:val="6"/>
        </w:numPr>
        <w:spacing w:line="440" w:lineRule="exact"/>
        <w:rPr>
          <w:rFonts w:ascii="宋体" w:hAnsi="宋体"/>
          <w:bCs/>
          <w:i/>
          <w:sz w:val="24"/>
          <w:u w:val="single"/>
        </w:rPr>
      </w:pPr>
      <w:r>
        <w:rPr>
          <w:rFonts w:hint="eastAsia" w:ascii="宋体" w:hAnsi="宋体"/>
          <w:bCs/>
          <w:sz w:val="24"/>
        </w:rPr>
        <w:t>不符合评选文件中规定的其他实质性要求和条件的（</w:t>
      </w:r>
      <w:r>
        <w:rPr>
          <w:rFonts w:hint="eastAsia" w:ascii="宋体" w:hAnsi="宋体"/>
          <w:bCs/>
          <w:i/>
          <w:sz w:val="24"/>
          <w:u w:val="single"/>
        </w:rPr>
        <w:t>本评选文件中斜体且</w:t>
      </w:r>
    </w:p>
    <w:p>
      <w:pPr>
        <w:spacing w:line="440" w:lineRule="exact"/>
        <w:rPr>
          <w:rFonts w:ascii="宋体" w:hAnsi="宋体"/>
          <w:bCs/>
          <w:i/>
          <w:sz w:val="24"/>
          <w:u w:val="single"/>
        </w:rPr>
      </w:pPr>
      <w:r>
        <w:rPr>
          <w:rFonts w:hint="eastAsia" w:ascii="宋体" w:hAnsi="宋体"/>
          <w:bCs/>
          <w:i/>
          <w:sz w:val="24"/>
          <w:u w:val="single"/>
        </w:rPr>
        <w:t>有下划线部分为实质性要求和条件）；</w:t>
      </w:r>
    </w:p>
    <w:p>
      <w:pPr>
        <w:pStyle w:val="6"/>
        <w:spacing w:before="0" w:after="0" w:line="240" w:lineRule="auto"/>
        <w:ind w:firstLine="420" w:firstLineChars="150"/>
        <w:rPr>
          <w:b w:val="0"/>
          <w:bCs w:val="0"/>
        </w:rPr>
      </w:pPr>
      <w:r>
        <w:rPr>
          <w:rFonts w:hint="eastAsia"/>
          <w:b w:val="0"/>
          <w:bCs w:val="0"/>
        </w:rPr>
        <w:t>23、</w:t>
      </w:r>
      <w:bookmarkEnd w:id="90"/>
      <w:bookmarkEnd w:id="91"/>
      <w:bookmarkEnd w:id="92"/>
      <w:r>
        <w:rPr>
          <w:rFonts w:hint="eastAsia"/>
          <w:b w:val="0"/>
          <w:bCs w:val="0"/>
        </w:rPr>
        <w:t>竞争性评选作废条款</w:t>
      </w:r>
    </w:p>
    <w:p>
      <w:pPr>
        <w:spacing w:line="440" w:lineRule="exact"/>
        <w:ind w:firstLine="480" w:firstLineChars="200"/>
        <w:rPr>
          <w:rFonts w:ascii="宋体" w:hAnsi="宋体"/>
          <w:bCs/>
          <w:sz w:val="24"/>
        </w:rPr>
      </w:pPr>
      <w:bookmarkStart w:id="105" w:name="_Toc16938551"/>
      <w:bookmarkStart w:id="106" w:name="_Toc20823307"/>
      <w:bookmarkStart w:id="107" w:name="_Toc513029235"/>
      <w:r>
        <w:rPr>
          <w:rFonts w:hint="eastAsia" w:ascii="宋体" w:hAnsi="宋体"/>
          <w:bCs/>
          <w:sz w:val="24"/>
        </w:rPr>
        <w:t>如出现根据评委会推荐的候选银行不足</w:t>
      </w:r>
      <w:r>
        <w:rPr>
          <w:rFonts w:ascii="宋体" w:hAnsi="宋体"/>
          <w:bCs/>
          <w:sz w:val="24"/>
        </w:rPr>
        <w:t>5</w:t>
      </w:r>
      <w:r>
        <w:rPr>
          <w:rFonts w:hint="eastAsia" w:ascii="宋体" w:hAnsi="宋体"/>
          <w:bCs/>
          <w:sz w:val="24"/>
        </w:rPr>
        <w:t>家时，按本项目评选文件的要求执行。</w:t>
      </w:r>
    </w:p>
    <w:p>
      <w:pPr>
        <w:pStyle w:val="5"/>
        <w:spacing w:before="145" w:beforeLines="50" w:after="145" w:afterLines="50" w:line="360" w:lineRule="auto"/>
        <w:ind w:firstLine="482" w:firstLineChars="150"/>
      </w:pPr>
      <w:bookmarkStart w:id="108" w:name="_Toc120614219"/>
      <w:r>
        <w:rPr>
          <w:rFonts w:hint="eastAsia"/>
        </w:rPr>
        <w:t>六、</w:t>
      </w:r>
      <w:bookmarkEnd w:id="105"/>
      <w:bookmarkEnd w:id="106"/>
      <w:bookmarkEnd w:id="107"/>
      <w:bookmarkEnd w:id="108"/>
      <w:r>
        <w:rPr>
          <w:rFonts w:hint="eastAsia"/>
        </w:rPr>
        <w:t>确定候选银行</w:t>
      </w:r>
    </w:p>
    <w:p>
      <w:pPr>
        <w:pStyle w:val="6"/>
        <w:spacing w:before="0" w:after="0" w:line="240" w:lineRule="auto"/>
        <w:ind w:firstLine="420" w:firstLineChars="150"/>
        <w:rPr>
          <w:b w:val="0"/>
          <w:bCs w:val="0"/>
        </w:rPr>
      </w:pPr>
      <w:bookmarkStart w:id="109" w:name="_Toc513029238"/>
      <w:bookmarkStart w:id="110" w:name="_Toc20823310"/>
      <w:bookmarkStart w:id="111" w:name="_Toc16938554"/>
      <w:r>
        <w:rPr>
          <w:b w:val="0"/>
          <w:bCs w:val="0"/>
        </w:rPr>
        <w:t>24</w:t>
      </w:r>
      <w:r>
        <w:rPr>
          <w:rFonts w:hint="eastAsia"/>
          <w:b w:val="0"/>
          <w:bCs w:val="0"/>
        </w:rPr>
        <w:t>、</w:t>
      </w:r>
      <w:bookmarkEnd w:id="109"/>
      <w:r>
        <w:rPr>
          <w:rFonts w:hint="eastAsia"/>
          <w:b w:val="0"/>
          <w:bCs w:val="0"/>
        </w:rPr>
        <w:t>确定</w:t>
      </w:r>
      <w:bookmarkEnd w:id="110"/>
      <w:bookmarkEnd w:id="111"/>
      <w:r>
        <w:rPr>
          <w:rFonts w:hint="eastAsia"/>
          <w:b w:val="0"/>
          <w:bCs w:val="0"/>
        </w:rPr>
        <w:t>候选银行</w:t>
      </w:r>
    </w:p>
    <w:p>
      <w:pPr>
        <w:spacing w:line="440" w:lineRule="exact"/>
        <w:ind w:firstLine="480" w:firstLineChars="200"/>
        <w:rPr>
          <w:rFonts w:ascii="宋体" w:hAnsi="宋体"/>
          <w:bCs/>
          <w:sz w:val="24"/>
        </w:rPr>
      </w:pPr>
      <w:r>
        <w:rPr>
          <w:rFonts w:ascii="宋体" w:hAnsi="宋体"/>
          <w:bCs/>
          <w:sz w:val="24"/>
        </w:rPr>
        <w:t xml:space="preserve">24.1 </w:t>
      </w:r>
      <w:r>
        <w:rPr>
          <w:rFonts w:hint="eastAsia" w:ascii="宋体" w:hAnsi="宋体"/>
          <w:bCs/>
          <w:sz w:val="24"/>
        </w:rPr>
        <w:t>评委会根据本评选文件规定评选方法与评选标准向评选委托方推荐</w:t>
      </w:r>
      <w:r>
        <w:rPr>
          <w:rFonts w:ascii="宋体" w:hAnsi="宋体"/>
          <w:bCs/>
          <w:sz w:val="24"/>
          <w:u w:val="single"/>
        </w:rPr>
        <w:t>5</w:t>
      </w:r>
      <w:r>
        <w:rPr>
          <w:rFonts w:hint="eastAsia" w:ascii="宋体" w:hAnsi="宋体"/>
          <w:bCs/>
          <w:sz w:val="24"/>
        </w:rPr>
        <w:t>名候选银行</w:t>
      </w:r>
      <w:r>
        <w:rPr>
          <w:rFonts w:hint="eastAsia" w:ascii="宋体" w:hAnsi="宋体"/>
          <w:b/>
          <w:sz w:val="24"/>
        </w:rPr>
        <w:t>。</w:t>
      </w:r>
    </w:p>
    <w:p>
      <w:pPr>
        <w:spacing w:line="480" w:lineRule="exact"/>
        <w:ind w:firstLine="480" w:firstLineChars="200"/>
        <w:rPr>
          <w:rFonts w:ascii="宋体" w:hAnsi="宋体"/>
          <w:bCs/>
          <w:sz w:val="24"/>
        </w:rPr>
      </w:pPr>
      <w:r>
        <w:rPr>
          <w:rFonts w:ascii="宋体" w:hAnsi="宋体"/>
          <w:bCs/>
          <w:sz w:val="24"/>
        </w:rPr>
        <w:t xml:space="preserve">24.2 </w:t>
      </w:r>
      <w:r>
        <w:rPr>
          <w:rFonts w:hint="eastAsia" w:ascii="宋体" w:hAnsi="宋体"/>
          <w:bCs/>
          <w:sz w:val="24"/>
        </w:rPr>
        <w:t>江苏省机关事务管理局将在“江苏省机关事务管理局官网”发布评选结果公告，</w:t>
      </w:r>
      <w:r>
        <w:rPr>
          <w:rFonts w:hint="eastAsia" w:ascii="宋体" w:hAnsi="宋体"/>
          <w:sz w:val="24"/>
          <w:szCs w:val="24"/>
        </w:rPr>
        <w:t>公告期限为</w:t>
      </w:r>
      <w:r>
        <w:rPr>
          <w:rFonts w:ascii="宋体" w:hAnsi="宋体"/>
          <w:sz w:val="24"/>
          <w:szCs w:val="24"/>
        </w:rPr>
        <w:t>1个工作日。</w:t>
      </w:r>
      <w:bookmarkStart w:id="112" w:name="_Toc513029242"/>
      <w:bookmarkStart w:id="113" w:name="_Toc479757207"/>
      <w:bookmarkStart w:id="114" w:name="_Toc120614221"/>
      <w:bookmarkStart w:id="115" w:name="_Toc20823314"/>
      <w:bookmarkStart w:id="116" w:name="_Toc16938558"/>
    </w:p>
    <w:bookmarkEnd w:id="112"/>
    <w:bookmarkEnd w:id="113"/>
    <w:bookmarkEnd w:id="114"/>
    <w:bookmarkEnd w:id="115"/>
    <w:bookmarkEnd w:id="116"/>
    <w:p>
      <w:pPr>
        <w:spacing w:line="560" w:lineRule="exact"/>
        <w:jc w:val="center"/>
        <w:rPr>
          <w:rFonts w:ascii="黑体" w:eastAsia="黑体"/>
          <w:bCs/>
          <w:sz w:val="44"/>
        </w:rPr>
      </w:pPr>
      <w:bookmarkStart w:id="117" w:name="_Hlt16619350"/>
      <w:bookmarkStart w:id="118" w:name="_Toc120614244"/>
      <w:bookmarkStart w:id="119" w:name="_Toc20823346"/>
      <w:bookmarkStart w:id="120" w:name="_Toc16938590"/>
      <w:bookmarkStart w:id="121" w:name="_Toc479757211"/>
      <w:bookmarkStart w:id="122" w:name="_Toc462564139"/>
      <w:r>
        <w:br w:type="page"/>
      </w:r>
      <w:r>
        <w:rPr>
          <w:rFonts w:hint="eastAsia" w:ascii="黑体" w:eastAsia="黑体"/>
          <w:bCs/>
          <w:sz w:val="44"/>
        </w:rPr>
        <w:t>第三章  合同文本</w:t>
      </w:r>
    </w:p>
    <w:p>
      <w:pPr>
        <w:spacing w:line="560" w:lineRule="exact"/>
        <w:ind w:firstLine="480" w:firstLineChars="200"/>
        <w:rPr>
          <w:rFonts w:ascii="宋体" w:hAnsi="宋体"/>
          <w:bCs/>
          <w:sz w:val="24"/>
        </w:rPr>
      </w:pPr>
      <w:r>
        <w:rPr>
          <w:rFonts w:hint="eastAsia" w:ascii="宋体" w:hAnsi="宋体"/>
          <w:bCs/>
          <w:sz w:val="24"/>
        </w:rPr>
        <w:t>评选结束后，由评选委托方与候选银行结合本项目具体情况协商后签订。</w:t>
      </w:r>
    </w:p>
    <w:p>
      <w:pPr>
        <w:pStyle w:val="24"/>
        <w:snapToGrid w:val="0"/>
        <w:spacing w:before="120" w:after="120" w:line="560" w:lineRule="exact"/>
        <w:jc w:val="center"/>
        <w:rPr>
          <w:rFonts w:hAnsi="宋体"/>
          <w:sz w:val="24"/>
          <w:szCs w:val="24"/>
        </w:rPr>
      </w:pPr>
      <w:r>
        <w:rPr>
          <w:rFonts w:hint="eastAsia" w:hAnsi="宋体"/>
          <w:b/>
          <w:sz w:val="30"/>
        </w:rPr>
        <w:t>定期存款协议</w:t>
      </w:r>
      <w:r>
        <w:rPr>
          <w:rFonts w:hAnsi="宋体"/>
          <w:sz w:val="24"/>
          <w:szCs w:val="24"/>
        </w:rPr>
        <w:t xml:space="preserve">                          </w:t>
      </w:r>
    </w:p>
    <w:p>
      <w:pPr>
        <w:pStyle w:val="24"/>
        <w:snapToGrid w:val="0"/>
        <w:spacing w:before="120" w:after="120" w:line="560" w:lineRule="exact"/>
        <w:rPr>
          <w:rFonts w:hAnsi="宋体"/>
          <w:sz w:val="24"/>
          <w:szCs w:val="24"/>
        </w:rPr>
      </w:pPr>
      <w:r>
        <w:rPr>
          <w:rFonts w:hAnsi="宋体"/>
          <w:sz w:val="24"/>
          <w:szCs w:val="24"/>
        </w:rPr>
        <w:t>甲方：（</w:t>
      </w:r>
      <w:r>
        <w:rPr>
          <w:rFonts w:hint="eastAsia" w:hAnsi="宋体"/>
          <w:sz w:val="24"/>
          <w:szCs w:val="24"/>
        </w:rPr>
        <w:t>资金方</w:t>
      </w:r>
      <w:r>
        <w:rPr>
          <w:rFonts w:hAnsi="宋体"/>
          <w:sz w:val="24"/>
          <w:szCs w:val="24"/>
        </w:rPr>
        <w:t>）_________</w:t>
      </w:r>
    </w:p>
    <w:p>
      <w:pPr>
        <w:pStyle w:val="24"/>
        <w:snapToGrid w:val="0"/>
        <w:spacing w:before="120" w:after="120" w:line="560" w:lineRule="exact"/>
        <w:rPr>
          <w:rFonts w:hAnsi="宋体"/>
          <w:sz w:val="24"/>
          <w:szCs w:val="24"/>
        </w:rPr>
      </w:pPr>
      <w:r>
        <w:rPr>
          <w:rFonts w:hAnsi="宋体"/>
          <w:sz w:val="24"/>
          <w:szCs w:val="24"/>
        </w:rPr>
        <w:t>乙方：（</w:t>
      </w:r>
      <w:r>
        <w:rPr>
          <w:rFonts w:hint="eastAsia" w:hAnsi="宋体"/>
          <w:sz w:val="24"/>
          <w:szCs w:val="24"/>
        </w:rPr>
        <w:t>贴息方</w:t>
      </w:r>
      <w:r>
        <w:rPr>
          <w:rFonts w:hAnsi="宋体"/>
          <w:sz w:val="24"/>
          <w:szCs w:val="24"/>
        </w:rPr>
        <w:t>）_________</w:t>
      </w:r>
    </w:p>
    <w:p>
      <w:pPr>
        <w:pStyle w:val="24"/>
        <w:snapToGrid w:val="0"/>
        <w:spacing w:before="120" w:after="120" w:line="560" w:lineRule="exact"/>
        <w:rPr>
          <w:rFonts w:hAnsi="宋体"/>
          <w:sz w:val="24"/>
          <w:szCs w:val="24"/>
        </w:rPr>
      </w:pPr>
      <w:r>
        <w:rPr>
          <w:rFonts w:hAnsi="宋体"/>
          <w:sz w:val="24"/>
          <w:szCs w:val="24"/>
        </w:rPr>
        <w:t xml:space="preserve">   甲、乙双方根据江苏省政府采购中心</w:t>
      </w:r>
      <w:r>
        <w:rPr>
          <w:rFonts w:hint="eastAsia" w:hAnsi="宋体"/>
          <w:sz w:val="24"/>
          <w:szCs w:val="24"/>
        </w:rPr>
        <w:t>确定的江苏省机关事务管理局资金定期存放银行竞争性评选</w:t>
      </w:r>
      <w:r>
        <w:rPr>
          <w:rFonts w:hAnsi="宋体"/>
          <w:sz w:val="24"/>
          <w:szCs w:val="24"/>
        </w:rPr>
        <w:t>结果，</w:t>
      </w:r>
      <w:r>
        <w:rPr>
          <w:rFonts w:hint="eastAsia" w:hAnsi="宋体"/>
          <w:sz w:val="24"/>
          <w:szCs w:val="24"/>
        </w:rPr>
        <w:t>签订</w:t>
      </w:r>
      <w:r>
        <w:rPr>
          <w:rFonts w:hAnsi="宋体"/>
          <w:sz w:val="24"/>
          <w:szCs w:val="24"/>
        </w:rPr>
        <w:t>本</w:t>
      </w:r>
      <w:r>
        <w:rPr>
          <w:rFonts w:hint="eastAsia" w:hAnsi="宋体"/>
          <w:sz w:val="24"/>
          <w:szCs w:val="24"/>
        </w:rPr>
        <w:t>协议</w:t>
      </w:r>
      <w:r>
        <w:rPr>
          <w:rFonts w:hAnsi="宋体"/>
          <w:sz w:val="24"/>
          <w:szCs w:val="24"/>
        </w:rPr>
        <w:t>。</w:t>
      </w:r>
    </w:p>
    <w:p>
      <w:pPr>
        <w:pStyle w:val="24"/>
        <w:snapToGrid w:val="0"/>
        <w:spacing w:before="120" w:after="120" w:line="560" w:lineRule="exact"/>
        <w:ind w:firstLine="354" w:firstLineChars="147"/>
        <w:rPr>
          <w:rFonts w:hAnsi="宋体"/>
          <w:b/>
          <w:sz w:val="24"/>
          <w:szCs w:val="24"/>
        </w:rPr>
      </w:pPr>
      <w:r>
        <w:rPr>
          <w:rFonts w:hAnsi="宋体"/>
          <w:b/>
          <w:sz w:val="24"/>
          <w:szCs w:val="24"/>
        </w:rPr>
        <w:t>一、</w:t>
      </w:r>
      <w:r>
        <w:rPr>
          <w:rFonts w:hint="eastAsia" w:hAnsi="宋体"/>
          <w:b/>
          <w:sz w:val="24"/>
          <w:szCs w:val="24"/>
        </w:rPr>
        <w:t>存放条件</w:t>
      </w:r>
    </w:p>
    <w:p>
      <w:pPr>
        <w:pStyle w:val="24"/>
        <w:snapToGrid w:val="0"/>
        <w:spacing w:before="120" w:after="120" w:line="560" w:lineRule="exact"/>
        <w:ind w:firstLine="360" w:firstLineChars="150"/>
        <w:rPr>
          <w:rFonts w:hAnsi="宋体"/>
          <w:sz w:val="24"/>
          <w:szCs w:val="24"/>
        </w:rPr>
      </w:pPr>
      <w:r>
        <w:rPr>
          <w:rFonts w:hAnsi="宋体"/>
          <w:sz w:val="24"/>
          <w:szCs w:val="24"/>
        </w:rPr>
        <w:t>1</w:t>
      </w:r>
      <w:r>
        <w:rPr>
          <w:rFonts w:hint="eastAsia" w:hAnsi="宋体"/>
          <w:sz w:val="24"/>
          <w:szCs w:val="24"/>
        </w:rPr>
        <w:t>.1资金金额</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1.2资金性质：</w:t>
      </w:r>
    </w:p>
    <w:p>
      <w:pPr>
        <w:pStyle w:val="24"/>
        <w:snapToGrid w:val="0"/>
        <w:spacing w:before="120" w:after="120" w:line="560" w:lineRule="exact"/>
        <w:ind w:firstLine="360" w:firstLineChars="150"/>
        <w:rPr>
          <w:rFonts w:hAnsi="宋体"/>
          <w:sz w:val="24"/>
          <w:szCs w:val="24"/>
          <w:u w:val="single"/>
        </w:rPr>
      </w:pPr>
      <w:r>
        <w:rPr>
          <w:rFonts w:hint="eastAsia" w:hAnsi="宋体"/>
          <w:sz w:val="24"/>
          <w:szCs w:val="24"/>
        </w:rPr>
        <w:t>1.3存放</w:t>
      </w:r>
      <w:r>
        <w:rPr>
          <w:rFonts w:hAnsi="宋体"/>
          <w:sz w:val="24"/>
          <w:szCs w:val="24"/>
        </w:rPr>
        <w:t>期限：</w:t>
      </w:r>
      <w:r>
        <w:rPr>
          <w:rFonts w:hint="eastAsia" w:hAnsi="宋体"/>
          <w:sz w:val="24"/>
          <w:szCs w:val="24"/>
          <w:u w:val="single"/>
        </w:rPr>
        <w:t xml:space="preserve">     </w:t>
      </w:r>
      <w:r>
        <w:rPr>
          <w:rFonts w:hint="eastAsia" w:hAnsi="宋体"/>
          <w:sz w:val="24"/>
          <w:szCs w:val="24"/>
        </w:rPr>
        <w:t>年期</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1.4存放银行</w:t>
      </w:r>
      <w:r>
        <w:rPr>
          <w:rFonts w:hAnsi="宋体"/>
          <w:sz w:val="24"/>
          <w:szCs w:val="24"/>
        </w:rPr>
        <w:t>：</w:t>
      </w:r>
      <w:r>
        <w:rPr>
          <w:rFonts w:hAnsi="宋体"/>
          <w:sz w:val="24"/>
          <w:szCs w:val="24"/>
          <w:u w:val="single"/>
        </w:rPr>
        <w:t xml:space="preserve">      </w:t>
      </w:r>
      <w:r>
        <w:rPr>
          <w:rFonts w:hint="eastAsia" w:hAnsi="宋体"/>
          <w:sz w:val="24"/>
          <w:szCs w:val="24"/>
        </w:rPr>
        <w:t>省</w:t>
      </w:r>
      <w:r>
        <w:rPr>
          <w:rFonts w:hAnsi="宋体"/>
          <w:sz w:val="24"/>
          <w:szCs w:val="24"/>
          <w:u w:val="single"/>
        </w:rPr>
        <w:t xml:space="preserve">      </w:t>
      </w:r>
      <w:r>
        <w:rPr>
          <w:rFonts w:hint="eastAsia" w:hAnsi="宋体"/>
          <w:sz w:val="24"/>
          <w:szCs w:val="24"/>
        </w:rPr>
        <w:t>市</w:t>
      </w:r>
      <w:r>
        <w:rPr>
          <w:rFonts w:hAnsi="宋体"/>
          <w:sz w:val="24"/>
          <w:szCs w:val="24"/>
          <w:u w:val="single"/>
        </w:rPr>
        <w:t xml:space="preserve">         </w:t>
      </w:r>
      <w:r>
        <w:rPr>
          <w:rFonts w:hint="eastAsia" w:hAnsi="宋体"/>
          <w:sz w:val="24"/>
          <w:szCs w:val="24"/>
        </w:rPr>
        <w:t>支行/营业部</w:t>
      </w:r>
      <w:r>
        <w:rPr>
          <w:rFonts w:hAnsi="宋体"/>
          <w:sz w:val="24"/>
          <w:szCs w:val="24"/>
        </w:rPr>
        <w:t>。</w:t>
      </w:r>
    </w:p>
    <w:p>
      <w:pPr>
        <w:pStyle w:val="24"/>
        <w:snapToGrid w:val="0"/>
        <w:spacing w:before="120" w:after="120" w:line="560" w:lineRule="exact"/>
        <w:ind w:firstLine="360" w:firstLineChars="150"/>
        <w:rPr>
          <w:rFonts w:hAnsi="宋体"/>
          <w:sz w:val="24"/>
          <w:szCs w:val="24"/>
        </w:rPr>
      </w:pPr>
      <w:r>
        <w:rPr>
          <w:rFonts w:hint="eastAsia" w:hAnsi="宋体"/>
          <w:sz w:val="24"/>
          <w:szCs w:val="24"/>
        </w:rPr>
        <w:t>1.5定期存款利率：按照乙方响应利率报价执行，为</w:t>
      </w:r>
      <w:r>
        <w:rPr>
          <w:rFonts w:hint="eastAsia" w:hAnsi="宋体"/>
          <w:sz w:val="24"/>
          <w:szCs w:val="24"/>
          <w:u w:val="single"/>
        </w:rPr>
        <w:t xml:space="preserve">           </w:t>
      </w:r>
      <w:r>
        <w:rPr>
          <w:rFonts w:hint="eastAsia" w:hAnsi="宋体"/>
          <w:sz w:val="24"/>
          <w:szCs w:val="24"/>
        </w:rPr>
        <w:t>%。</w:t>
      </w:r>
    </w:p>
    <w:p>
      <w:pPr>
        <w:pStyle w:val="24"/>
        <w:snapToGrid w:val="0"/>
        <w:spacing w:before="120" w:after="120" w:line="560" w:lineRule="exact"/>
        <w:ind w:firstLine="360" w:firstLineChars="150"/>
        <w:rPr>
          <w:rFonts w:hAnsi="宋体"/>
          <w:sz w:val="24"/>
          <w:szCs w:val="24"/>
          <w:u w:val="single"/>
        </w:rPr>
      </w:pPr>
      <w:r>
        <w:rPr>
          <w:rFonts w:hint="eastAsia" w:hAnsi="宋体"/>
          <w:sz w:val="24"/>
          <w:szCs w:val="24"/>
        </w:rPr>
        <w:t>1.6提前支取协定利率：</w:t>
      </w:r>
      <w:r>
        <w:rPr>
          <w:rFonts w:hint="eastAsia" w:hAnsi="宋体"/>
          <w:sz w:val="24"/>
          <w:szCs w:val="24"/>
          <w:u w:val="single"/>
        </w:rPr>
        <w:t xml:space="preserve">        </w:t>
      </w:r>
      <w:r>
        <w:rPr>
          <w:rFonts w:hint="eastAsia" w:hAnsi="宋体"/>
          <w:sz w:val="24"/>
          <w:szCs w:val="24"/>
        </w:rPr>
        <w:t>%</w:t>
      </w:r>
    </w:p>
    <w:p>
      <w:pPr>
        <w:pStyle w:val="24"/>
        <w:snapToGrid w:val="0"/>
        <w:spacing w:before="120" w:after="120" w:line="560" w:lineRule="exact"/>
        <w:ind w:firstLine="354" w:firstLineChars="147"/>
        <w:rPr>
          <w:rFonts w:hAnsi="宋体"/>
          <w:sz w:val="24"/>
          <w:szCs w:val="24"/>
        </w:rPr>
      </w:pPr>
      <w:r>
        <w:rPr>
          <w:rFonts w:hint="eastAsia" w:hAnsi="宋体"/>
          <w:b/>
          <w:sz w:val="24"/>
          <w:szCs w:val="24"/>
        </w:rPr>
        <w:t>二</w:t>
      </w:r>
      <w:r>
        <w:rPr>
          <w:rFonts w:hAnsi="宋体"/>
          <w:b/>
          <w:sz w:val="24"/>
          <w:szCs w:val="24"/>
        </w:rPr>
        <w:t>、违约责任</w:t>
      </w:r>
    </w:p>
    <w:p>
      <w:pPr>
        <w:pStyle w:val="24"/>
        <w:snapToGrid w:val="0"/>
        <w:spacing w:before="120" w:after="120" w:line="560" w:lineRule="exact"/>
        <w:ind w:firstLine="360" w:firstLineChars="150"/>
        <w:rPr>
          <w:rFonts w:hAnsi="宋体"/>
          <w:sz w:val="24"/>
          <w:szCs w:val="24"/>
        </w:rPr>
      </w:pPr>
      <w:r>
        <w:rPr>
          <w:rFonts w:hint="eastAsia" w:hAnsi="宋体"/>
          <w:sz w:val="24"/>
          <w:szCs w:val="24"/>
        </w:rPr>
        <w:t>2.1此次资金竞争性存放的《评选文件》、各银行《响应文件》是该定期存款协议的组成部分。甲、乙双方仍须遵守。</w:t>
      </w:r>
    </w:p>
    <w:p>
      <w:pPr>
        <w:pStyle w:val="24"/>
        <w:snapToGrid w:val="0"/>
        <w:spacing w:before="120" w:after="120" w:line="560" w:lineRule="exact"/>
        <w:ind w:firstLine="360" w:firstLineChars="150"/>
        <w:rPr>
          <w:rFonts w:hAnsi="宋体"/>
          <w:sz w:val="24"/>
          <w:szCs w:val="24"/>
        </w:rPr>
      </w:pPr>
      <w:r>
        <w:rPr>
          <w:rFonts w:hint="eastAsia" w:hAnsi="宋体"/>
          <w:sz w:val="24"/>
          <w:szCs w:val="24"/>
        </w:rPr>
        <w:t>2</w:t>
      </w:r>
      <w:r>
        <w:rPr>
          <w:rFonts w:hAnsi="宋体"/>
          <w:sz w:val="24"/>
          <w:szCs w:val="24"/>
        </w:rPr>
        <w:t>.</w:t>
      </w:r>
      <w:r>
        <w:rPr>
          <w:rFonts w:hint="eastAsia" w:hAnsi="宋体"/>
          <w:sz w:val="24"/>
          <w:szCs w:val="24"/>
        </w:rPr>
        <w:t>2</w:t>
      </w:r>
      <w:r>
        <w:rPr>
          <w:rFonts w:hAnsi="宋体"/>
          <w:sz w:val="24"/>
          <w:szCs w:val="24"/>
        </w:rPr>
        <w:t>乙方应按</w:t>
      </w:r>
      <w:r>
        <w:rPr>
          <w:rFonts w:hint="eastAsia" w:hAnsi="宋体"/>
          <w:sz w:val="24"/>
          <w:szCs w:val="24"/>
        </w:rPr>
        <w:t>评选文件</w:t>
      </w:r>
      <w:r>
        <w:rPr>
          <w:rFonts w:hAnsi="宋体"/>
          <w:sz w:val="24"/>
          <w:szCs w:val="24"/>
        </w:rPr>
        <w:t>规定和</w:t>
      </w:r>
      <w:r>
        <w:rPr>
          <w:rFonts w:hint="eastAsia" w:hAnsi="宋体"/>
          <w:sz w:val="24"/>
          <w:szCs w:val="24"/>
        </w:rPr>
        <w:t>响应文件所做的服务</w:t>
      </w:r>
      <w:r>
        <w:rPr>
          <w:rFonts w:hAnsi="宋体"/>
          <w:sz w:val="24"/>
          <w:szCs w:val="24"/>
        </w:rPr>
        <w:t>承诺向甲方提供服务。</w:t>
      </w:r>
    </w:p>
    <w:p>
      <w:pPr>
        <w:pStyle w:val="24"/>
        <w:snapToGrid w:val="0"/>
        <w:spacing w:before="120" w:after="120" w:line="560" w:lineRule="exact"/>
        <w:ind w:left="359" w:leftChars="171"/>
        <w:rPr>
          <w:rFonts w:hAnsi="宋体"/>
          <w:b/>
          <w:sz w:val="24"/>
          <w:szCs w:val="24"/>
        </w:rPr>
      </w:pPr>
      <w:r>
        <w:rPr>
          <w:rFonts w:hint="eastAsia" w:hAnsi="宋体"/>
          <w:sz w:val="24"/>
          <w:szCs w:val="24"/>
        </w:rPr>
        <w:t>2</w:t>
      </w:r>
      <w:r>
        <w:rPr>
          <w:rFonts w:hAnsi="宋体"/>
          <w:sz w:val="24"/>
          <w:szCs w:val="24"/>
        </w:rPr>
        <w:t>.</w:t>
      </w:r>
      <w:r>
        <w:rPr>
          <w:rFonts w:hint="eastAsia" w:hAnsi="宋体"/>
          <w:sz w:val="24"/>
          <w:szCs w:val="24"/>
        </w:rPr>
        <w:t>3</w:t>
      </w:r>
      <w:r>
        <w:rPr>
          <w:rFonts w:hAnsi="宋体"/>
          <w:b/>
          <w:sz w:val="24"/>
          <w:szCs w:val="24"/>
        </w:rPr>
        <w:t xml:space="preserve"> </w:t>
      </w:r>
      <w:r>
        <w:rPr>
          <w:rFonts w:hint="eastAsia" w:hAnsi="宋体"/>
          <w:sz w:val="24"/>
          <w:szCs w:val="24"/>
        </w:rPr>
        <w:t>乙方在此次资金竞争性存放中出现以下情形之一的，一经查实，甲方有权提前收回已存放的资金：</w:t>
      </w:r>
    </w:p>
    <w:p>
      <w:pPr>
        <w:pStyle w:val="24"/>
        <w:snapToGrid w:val="0"/>
        <w:spacing w:before="120" w:after="120" w:line="560" w:lineRule="exact"/>
        <w:ind w:left="359" w:leftChars="171"/>
        <w:rPr>
          <w:rFonts w:hAnsi="宋体"/>
          <w:sz w:val="24"/>
          <w:szCs w:val="24"/>
        </w:rPr>
      </w:pPr>
      <w:r>
        <w:rPr>
          <w:rFonts w:hint="eastAsia" w:hAnsi="宋体"/>
          <w:sz w:val="24"/>
          <w:szCs w:val="24"/>
        </w:rPr>
        <w:t>（一）出现银行挤兑或因银行责任造成单位存款被盗的情形。</w:t>
      </w:r>
    </w:p>
    <w:p>
      <w:pPr>
        <w:pStyle w:val="24"/>
        <w:snapToGrid w:val="0"/>
        <w:spacing w:before="120" w:after="120" w:line="560" w:lineRule="exact"/>
        <w:ind w:left="359" w:leftChars="171"/>
        <w:rPr>
          <w:rFonts w:hAnsi="宋体"/>
          <w:sz w:val="24"/>
          <w:szCs w:val="24"/>
        </w:rPr>
      </w:pPr>
      <w:r>
        <w:rPr>
          <w:rFonts w:hint="eastAsia" w:hAnsi="宋体"/>
          <w:sz w:val="24"/>
          <w:szCs w:val="24"/>
        </w:rPr>
        <w:t>（二）未遵守廉政承诺或者在实施资金存放中存在其他利益输送行为。</w:t>
      </w:r>
    </w:p>
    <w:p>
      <w:pPr>
        <w:pStyle w:val="24"/>
        <w:snapToGrid w:val="0"/>
        <w:spacing w:before="120" w:after="120" w:line="560" w:lineRule="exact"/>
        <w:ind w:left="359" w:leftChars="171"/>
        <w:rPr>
          <w:rFonts w:hAnsi="宋体"/>
          <w:sz w:val="24"/>
          <w:szCs w:val="24"/>
        </w:rPr>
      </w:pPr>
      <w:r>
        <w:rPr>
          <w:rFonts w:hint="eastAsia" w:hAnsi="宋体"/>
          <w:sz w:val="24"/>
          <w:szCs w:val="24"/>
        </w:rPr>
        <w:t>（三）被取消资金竞争性存放的候选资格。</w:t>
      </w:r>
    </w:p>
    <w:p>
      <w:pPr>
        <w:pStyle w:val="24"/>
        <w:snapToGrid w:val="0"/>
        <w:spacing w:before="120" w:after="120" w:line="560" w:lineRule="exact"/>
        <w:ind w:left="359" w:leftChars="171"/>
        <w:rPr>
          <w:rFonts w:hAnsi="宋体"/>
          <w:sz w:val="24"/>
          <w:szCs w:val="24"/>
        </w:rPr>
      </w:pPr>
      <w:r>
        <w:rPr>
          <w:rFonts w:hint="eastAsia" w:hAnsi="宋体"/>
          <w:sz w:val="24"/>
          <w:szCs w:val="24"/>
        </w:rPr>
        <w:t>2.4乙方在此次资金竞争性存放中出现以下情形之一的，一经查实，甲方有权在一定期限内取消乙方资金竞争性存放的候选资格：</w:t>
      </w:r>
    </w:p>
    <w:p>
      <w:pPr>
        <w:pStyle w:val="24"/>
        <w:snapToGrid w:val="0"/>
        <w:spacing w:before="120" w:after="120" w:line="560" w:lineRule="exact"/>
        <w:ind w:left="359" w:leftChars="171"/>
        <w:rPr>
          <w:rFonts w:hAnsi="宋体"/>
          <w:sz w:val="24"/>
          <w:szCs w:val="24"/>
        </w:rPr>
      </w:pPr>
      <w:r>
        <w:rPr>
          <w:rFonts w:hint="eastAsia" w:hAnsi="宋体"/>
          <w:sz w:val="24"/>
          <w:szCs w:val="24"/>
        </w:rPr>
        <w:t>（一）提供虚假材料谋取候选资格。</w:t>
      </w:r>
    </w:p>
    <w:p>
      <w:pPr>
        <w:pStyle w:val="24"/>
        <w:snapToGrid w:val="0"/>
        <w:spacing w:before="120" w:after="120" w:line="560" w:lineRule="exact"/>
        <w:ind w:left="359" w:leftChars="171"/>
        <w:rPr>
          <w:rFonts w:hAnsi="宋体"/>
          <w:sz w:val="24"/>
          <w:szCs w:val="24"/>
        </w:rPr>
      </w:pPr>
      <w:r>
        <w:rPr>
          <w:rFonts w:hint="eastAsia" w:hAnsi="宋体"/>
          <w:sz w:val="24"/>
          <w:szCs w:val="24"/>
        </w:rPr>
        <w:t>（二）向甲方或中介机构行贿或者提供其他不正当利益的。</w:t>
      </w:r>
    </w:p>
    <w:p>
      <w:pPr>
        <w:pStyle w:val="24"/>
        <w:snapToGrid w:val="0"/>
        <w:spacing w:before="120" w:after="120" w:line="560" w:lineRule="exact"/>
        <w:ind w:left="359" w:leftChars="171"/>
        <w:rPr>
          <w:rFonts w:hAnsi="宋体"/>
          <w:sz w:val="24"/>
          <w:szCs w:val="24"/>
        </w:rPr>
      </w:pPr>
      <w:r>
        <w:rPr>
          <w:rFonts w:hint="eastAsia" w:hAnsi="宋体"/>
          <w:sz w:val="24"/>
          <w:szCs w:val="24"/>
        </w:rPr>
        <w:t>（三）采取不正当手段诋毁、排挤其他报名银行的。</w:t>
      </w:r>
    </w:p>
    <w:p>
      <w:pPr>
        <w:pStyle w:val="24"/>
        <w:snapToGrid w:val="0"/>
        <w:spacing w:before="120" w:after="120" w:line="560" w:lineRule="exact"/>
        <w:ind w:left="359" w:leftChars="171"/>
        <w:rPr>
          <w:rFonts w:hAnsi="宋体"/>
          <w:sz w:val="24"/>
          <w:szCs w:val="24"/>
        </w:rPr>
      </w:pPr>
      <w:r>
        <w:rPr>
          <w:rFonts w:hint="eastAsia" w:hAnsi="宋体"/>
          <w:sz w:val="24"/>
          <w:szCs w:val="24"/>
        </w:rPr>
        <w:t>（四）未遵守廉政承诺或者在实施竞争性存放的资金存放中存在其他利益输送行为，且经甲方主管部门核准的。</w:t>
      </w:r>
    </w:p>
    <w:p>
      <w:pPr>
        <w:pStyle w:val="24"/>
        <w:snapToGrid w:val="0"/>
        <w:spacing w:before="120" w:after="120" w:line="560" w:lineRule="exact"/>
        <w:ind w:left="359" w:leftChars="171"/>
        <w:rPr>
          <w:rFonts w:hAnsi="宋体"/>
          <w:sz w:val="24"/>
          <w:szCs w:val="24"/>
        </w:rPr>
      </w:pPr>
      <w:r>
        <w:rPr>
          <w:rFonts w:hint="eastAsia" w:hAnsi="宋体"/>
          <w:sz w:val="24"/>
          <w:szCs w:val="24"/>
        </w:rPr>
        <w:t>2.5资金被提前收回的，存放银行仍需按照乙方响应利率报价计息结算，提前收回的资金均存于去除乙方后依据评选文件重新确定的其他候选银行。</w:t>
      </w:r>
    </w:p>
    <w:p>
      <w:pPr>
        <w:pStyle w:val="24"/>
        <w:snapToGrid w:val="0"/>
        <w:spacing w:before="120" w:after="120" w:line="560" w:lineRule="exact"/>
        <w:ind w:firstLine="241" w:firstLineChars="100"/>
        <w:rPr>
          <w:rFonts w:hAnsi="宋体"/>
          <w:b/>
          <w:sz w:val="24"/>
          <w:szCs w:val="24"/>
        </w:rPr>
      </w:pPr>
      <w:r>
        <w:rPr>
          <w:rFonts w:hint="eastAsia" w:hAnsi="宋体"/>
          <w:b/>
          <w:bCs/>
          <w:sz w:val="24"/>
          <w:szCs w:val="24"/>
        </w:rPr>
        <w:t>三</w:t>
      </w:r>
      <w:r>
        <w:rPr>
          <w:rFonts w:hAnsi="宋体"/>
          <w:b/>
          <w:bCs/>
          <w:sz w:val="24"/>
          <w:szCs w:val="24"/>
        </w:rPr>
        <w:t>、诉</w:t>
      </w:r>
      <w:r>
        <w:rPr>
          <w:rFonts w:hAnsi="宋体"/>
          <w:b/>
          <w:sz w:val="24"/>
          <w:szCs w:val="24"/>
        </w:rPr>
        <w:t>讼</w:t>
      </w:r>
    </w:p>
    <w:p>
      <w:pPr>
        <w:pStyle w:val="24"/>
        <w:snapToGrid w:val="0"/>
        <w:spacing w:before="120" w:after="120" w:line="560" w:lineRule="exact"/>
        <w:ind w:left="464" w:leftChars="221" w:firstLine="480" w:firstLineChars="200"/>
        <w:rPr>
          <w:rFonts w:hAnsi="宋体"/>
          <w:sz w:val="24"/>
          <w:szCs w:val="24"/>
        </w:rPr>
      </w:pPr>
      <w:r>
        <w:rPr>
          <w:rFonts w:hAnsi="宋体"/>
          <w:sz w:val="24"/>
          <w:szCs w:val="24"/>
        </w:rPr>
        <w:t>双方在执行合同中所发生的一切争议，应通过协商解决。如协商不成，可向合同签订地法院起诉，合同签订地在此约定为南京市。</w:t>
      </w:r>
    </w:p>
    <w:p>
      <w:pPr>
        <w:pStyle w:val="24"/>
        <w:snapToGrid w:val="0"/>
        <w:spacing w:before="120" w:after="120" w:line="560" w:lineRule="exact"/>
        <w:ind w:firstLine="241" w:firstLineChars="100"/>
        <w:rPr>
          <w:rFonts w:hAnsi="宋体"/>
          <w:b/>
          <w:sz w:val="24"/>
          <w:szCs w:val="24"/>
        </w:rPr>
      </w:pPr>
      <w:r>
        <w:rPr>
          <w:rFonts w:hAnsi="宋体"/>
          <w:b/>
          <w:sz w:val="24"/>
          <w:szCs w:val="24"/>
        </w:rPr>
        <w:t xml:space="preserve"> </w:t>
      </w:r>
      <w:r>
        <w:rPr>
          <w:rFonts w:hint="eastAsia" w:hAnsi="宋体"/>
          <w:b/>
          <w:sz w:val="24"/>
          <w:szCs w:val="24"/>
        </w:rPr>
        <w:t>四</w:t>
      </w:r>
      <w:r>
        <w:rPr>
          <w:rFonts w:hAnsi="宋体"/>
          <w:b/>
          <w:sz w:val="24"/>
          <w:szCs w:val="24"/>
        </w:rPr>
        <w:t>、合同生效及其它</w:t>
      </w:r>
    </w:p>
    <w:p>
      <w:pPr>
        <w:pStyle w:val="24"/>
        <w:snapToGrid w:val="0"/>
        <w:spacing w:before="120" w:after="120" w:line="560" w:lineRule="exact"/>
        <w:ind w:firstLine="360" w:firstLineChars="150"/>
        <w:rPr>
          <w:rFonts w:hAnsi="宋体"/>
          <w:sz w:val="24"/>
          <w:szCs w:val="24"/>
        </w:rPr>
      </w:pPr>
      <w:r>
        <w:rPr>
          <w:rFonts w:hint="eastAsia" w:hAnsi="宋体"/>
          <w:sz w:val="24"/>
          <w:szCs w:val="24"/>
        </w:rPr>
        <w:t>4.</w:t>
      </w:r>
      <w:r>
        <w:rPr>
          <w:rFonts w:hAnsi="宋体"/>
          <w:sz w:val="24"/>
          <w:szCs w:val="24"/>
        </w:rPr>
        <w:t>1 合同经双方法定代表人</w:t>
      </w:r>
      <w:r>
        <w:rPr>
          <w:rFonts w:hint="eastAsia" w:hAnsi="宋体"/>
          <w:sz w:val="24"/>
          <w:szCs w:val="24"/>
        </w:rPr>
        <w:t>（单位负责人）</w:t>
      </w:r>
      <w:r>
        <w:rPr>
          <w:rFonts w:hAnsi="宋体"/>
          <w:sz w:val="24"/>
          <w:szCs w:val="24"/>
        </w:rPr>
        <w:t>或授权委托代表人签字并加盖单位公章后生效。</w:t>
      </w:r>
    </w:p>
    <w:p>
      <w:pPr>
        <w:pStyle w:val="24"/>
        <w:snapToGrid w:val="0"/>
        <w:spacing w:before="120" w:after="120" w:line="560" w:lineRule="exact"/>
        <w:ind w:firstLine="360" w:firstLineChars="150"/>
        <w:rPr>
          <w:rFonts w:hAnsi="宋体"/>
          <w:sz w:val="24"/>
          <w:szCs w:val="24"/>
        </w:rPr>
      </w:pPr>
      <w:r>
        <w:rPr>
          <w:rFonts w:hAnsi="宋体"/>
          <w:sz w:val="24"/>
          <w:szCs w:val="24"/>
        </w:rPr>
        <w:t>4.2本合同未尽事宜，遵照《</w:t>
      </w:r>
      <w:r>
        <w:rPr>
          <w:rFonts w:hint="eastAsia" w:hAnsi="宋体"/>
          <w:sz w:val="24"/>
          <w:szCs w:val="24"/>
        </w:rPr>
        <w:t>民法典</w:t>
      </w:r>
      <w:r>
        <w:rPr>
          <w:rFonts w:hAnsi="宋体"/>
          <w:sz w:val="24"/>
          <w:szCs w:val="24"/>
        </w:rPr>
        <w:t>》有关条文执行。</w:t>
      </w:r>
    </w:p>
    <w:p>
      <w:pPr>
        <w:pStyle w:val="24"/>
        <w:snapToGrid w:val="0"/>
        <w:spacing w:before="120" w:after="120" w:line="560" w:lineRule="exact"/>
        <w:ind w:left="479" w:leftChars="171" w:hanging="120" w:hangingChars="50"/>
        <w:rPr>
          <w:rFonts w:hAnsi="宋体"/>
          <w:sz w:val="24"/>
          <w:szCs w:val="24"/>
        </w:rPr>
      </w:pPr>
      <w:r>
        <w:rPr>
          <w:rFonts w:hint="eastAsia" w:hAnsi="宋体"/>
          <w:sz w:val="24"/>
          <w:szCs w:val="24"/>
        </w:rPr>
        <w:t>4</w:t>
      </w:r>
      <w:r>
        <w:rPr>
          <w:rFonts w:hAnsi="宋体"/>
          <w:sz w:val="24"/>
          <w:szCs w:val="24"/>
        </w:rPr>
        <w:t>.3 本合同正本一式</w:t>
      </w:r>
      <w:r>
        <w:rPr>
          <w:rFonts w:hint="eastAsia" w:hAnsi="宋体"/>
          <w:sz w:val="24"/>
          <w:szCs w:val="24"/>
        </w:rPr>
        <w:t>两</w:t>
      </w:r>
      <w:r>
        <w:rPr>
          <w:rFonts w:hAnsi="宋体"/>
          <w:sz w:val="24"/>
          <w:szCs w:val="24"/>
        </w:rPr>
        <w:t>份，具有同等法律效力，甲方、乙方各执一份。</w:t>
      </w:r>
    </w:p>
    <w:p>
      <w:pPr>
        <w:pStyle w:val="24"/>
        <w:snapToGrid w:val="0"/>
        <w:spacing w:before="120" w:after="120" w:line="560" w:lineRule="exact"/>
        <w:ind w:left="480" w:hanging="480" w:hangingChars="200"/>
        <w:rPr>
          <w:rFonts w:hAnsi="宋体"/>
          <w:sz w:val="24"/>
          <w:szCs w:val="24"/>
        </w:rPr>
      </w:pPr>
      <w:r>
        <w:rPr>
          <w:rFonts w:hAnsi="宋体"/>
          <w:sz w:val="24"/>
          <w:szCs w:val="24"/>
        </w:rPr>
        <w:t xml:space="preserve">  甲方：                                 乙方： </w:t>
      </w:r>
    </w:p>
    <w:p>
      <w:pPr>
        <w:pStyle w:val="24"/>
        <w:snapToGrid w:val="0"/>
        <w:spacing w:before="120" w:after="120" w:line="560" w:lineRule="exact"/>
        <w:rPr>
          <w:rFonts w:hAnsi="宋体"/>
          <w:sz w:val="24"/>
          <w:szCs w:val="24"/>
        </w:rPr>
      </w:pPr>
      <w:r>
        <w:rPr>
          <w:rFonts w:hAnsi="宋体"/>
          <w:sz w:val="24"/>
          <w:szCs w:val="24"/>
        </w:rPr>
        <w:t xml:space="preserve">  地址：                                 地址： </w:t>
      </w:r>
    </w:p>
    <w:p>
      <w:pPr>
        <w:pStyle w:val="24"/>
        <w:snapToGrid w:val="0"/>
        <w:spacing w:before="120" w:after="120" w:line="560" w:lineRule="exact"/>
        <w:rPr>
          <w:rFonts w:hAnsi="宋体"/>
          <w:sz w:val="24"/>
          <w:szCs w:val="24"/>
        </w:rPr>
      </w:pPr>
      <w:r>
        <w:rPr>
          <w:rFonts w:hAnsi="宋体"/>
          <w:sz w:val="24"/>
          <w:szCs w:val="24"/>
        </w:rPr>
        <w:t xml:space="preserve">  法定代表人或授权代表：                 法定代表人</w:t>
      </w:r>
      <w:r>
        <w:rPr>
          <w:rFonts w:hint="eastAsia" w:hAnsi="宋体"/>
          <w:sz w:val="24"/>
          <w:szCs w:val="24"/>
        </w:rPr>
        <w:t>（单位负责人）</w:t>
      </w:r>
      <w:r>
        <w:rPr>
          <w:rFonts w:hAnsi="宋体"/>
          <w:sz w:val="24"/>
          <w:szCs w:val="24"/>
        </w:rPr>
        <w:t>或授权代表：</w:t>
      </w:r>
    </w:p>
    <w:p>
      <w:pPr>
        <w:pStyle w:val="24"/>
        <w:snapToGrid w:val="0"/>
        <w:spacing w:before="120" w:after="120" w:line="560" w:lineRule="exact"/>
        <w:rPr>
          <w:rFonts w:hAnsi="宋体"/>
          <w:sz w:val="24"/>
          <w:szCs w:val="24"/>
        </w:rPr>
      </w:pPr>
      <w:r>
        <w:rPr>
          <w:rFonts w:hAnsi="宋体"/>
          <w:sz w:val="24"/>
          <w:szCs w:val="24"/>
        </w:rPr>
        <w:t xml:space="preserve">  联系电话：                             联系电话：</w:t>
      </w:r>
    </w:p>
    <w:p>
      <w:pPr>
        <w:pStyle w:val="24"/>
        <w:snapToGrid w:val="0"/>
        <w:spacing w:before="120" w:after="120" w:line="560" w:lineRule="exact"/>
        <w:rPr>
          <w:rFonts w:hAnsi="宋体"/>
          <w:sz w:val="24"/>
          <w:szCs w:val="24"/>
        </w:rPr>
      </w:pPr>
    </w:p>
    <w:p>
      <w:pPr>
        <w:pStyle w:val="24"/>
        <w:snapToGrid w:val="0"/>
        <w:spacing w:before="120" w:after="120" w:line="0" w:lineRule="atLeast"/>
        <w:jc w:val="center"/>
      </w:pPr>
      <w:r>
        <w:rPr>
          <w:rFonts w:hint="eastAsia"/>
          <w:sz w:val="24"/>
        </w:rPr>
        <w:t xml:space="preserve">                                      </w:t>
      </w:r>
      <w:r>
        <w:rPr>
          <w:sz w:val="24"/>
        </w:rPr>
        <w:t xml:space="preserve"> 签订日期：      年  月  日</w:t>
      </w:r>
    </w:p>
    <w:p>
      <w:pPr>
        <w:spacing w:line="500" w:lineRule="exact"/>
        <w:ind w:firstLine="480" w:firstLineChars="200"/>
        <w:jc w:val="center"/>
        <w:rPr>
          <w:rFonts w:hAnsi="宋体"/>
          <w:sz w:val="24"/>
          <w:szCs w:val="24"/>
        </w:rPr>
      </w:pPr>
      <w:r>
        <w:rPr>
          <w:rFonts w:hint="eastAsia" w:hAnsi="宋体"/>
          <w:sz w:val="24"/>
          <w:szCs w:val="24"/>
        </w:rPr>
        <w:t xml:space="preserve"> </w:t>
      </w:r>
    </w:p>
    <w:p>
      <w:pPr>
        <w:spacing w:line="500" w:lineRule="exact"/>
        <w:ind w:firstLine="480" w:firstLineChars="200"/>
        <w:jc w:val="center"/>
        <w:rPr>
          <w:rFonts w:hAnsi="宋体"/>
          <w:sz w:val="24"/>
          <w:szCs w:val="24"/>
        </w:rPr>
      </w:pPr>
    </w:p>
    <w:p>
      <w:pPr>
        <w:spacing w:line="500" w:lineRule="exact"/>
        <w:ind w:firstLine="480" w:firstLineChars="200"/>
        <w:jc w:val="center"/>
        <w:rPr>
          <w:rFonts w:hAnsi="宋体"/>
          <w:sz w:val="24"/>
          <w:szCs w:val="24"/>
        </w:rPr>
      </w:pPr>
    </w:p>
    <w:p>
      <w:pPr>
        <w:spacing w:line="500" w:lineRule="exact"/>
        <w:ind w:firstLine="480" w:firstLineChars="200"/>
        <w:jc w:val="center"/>
        <w:rPr>
          <w:rFonts w:hAnsi="宋体"/>
          <w:sz w:val="24"/>
          <w:szCs w:val="24"/>
        </w:rPr>
      </w:pPr>
    </w:p>
    <w:p>
      <w:pPr>
        <w:spacing w:line="500" w:lineRule="exact"/>
        <w:rPr>
          <w:rFonts w:hAnsi="宋体"/>
          <w:sz w:val="24"/>
          <w:szCs w:val="24"/>
        </w:rPr>
      </w:pPr>
    </w:p>
    <w:p>
      <w:pPr>
        <w:widowControl/>
        <w:jc w:val="left"/>
        <w:rPr>
          <w:rFonts w:ascii="黑体" w:eastAsia="黑体"/>
          <w:bCs/>
          <w:sz w:val="44"/>
        </w:rPr>
      </w:pPr>
      <w:r>
        <w:rPr>
          <w:rFonts w:ascii="黑体" w:eastAsia="黑体"/>
          <w:bCs/>
          <w:sz w:val="44"/>
        </w:rPr>
        <w:br w:type="page"/>
      </w:r>
    </w:p>
    <w:p>
      <w:pPr>
        <w:spacing w:line="500" w:lineRule="exact"/>
        <w:ind w:firstLine="880" w:firstLineChars="200"/>
        <w:jc w:val="center"/>
        <w:rPr>
          <w:rFonts w:ascii="黑体" w:eastAsia="黑体"/>
          <w:bCs/>
          <w:sz w:val="44"/>
        </w:rPr>
      </w:pPr>
      <w:r>
        <w:rPr>
          <w:rFonts w:hint="eastAsia" w:ascii="黑体" w:eastAsia="黑体"/>
          <w:bCs/>
          <w:sz w:val="44"/>
        </w:rPr>
        <w:t>第</w:t>
      </w:r>
      <w:bookmarkEnd w:id="117"/>
      <w:r>
        <w:rPr>
          <w:rFonts w:hint="eastAsia" w:ascii="黑体" w:eastAsia="黑体"/>
          <w:bCs/>
          <w:sz w:val="44"/>
        </w:rPr>
        <w:t>四章 项目需求</w:t>
      </w:r>
      <w:bookmarkEnd w:id="118"/>
      <w:bookmarkEnd w:id="119"/>
      <w:bookmarkEnd w:id="120"/>
      <w:bookmarkStart w:id="123" w:name="_Toc26554093"/>
      <w:bookmarkStart w:id="124" w:name="_Toc49090575"/>
    </w:p>
    <w:p>
      <w:pPr>
        <w:ind w:firstLine="480" w:firstLineChars="200"/>
        <w:rPr>
          <w:rFonts w:ascii="宋体" w:hAnsi="宋体"/>
          <w:bCs/>
          <w:sz w:val="24"/>
        </w:rPr>
      </w:pPr>
      <w:r>
        <w:rPr>
          <w:rFonts w:hint="eastAsia" w:ascii="宋体" w:hAnsi="宋体"/>
          <w:bCs/>
          <w:sz w:val="24"/>
        </w:rPr>
        <w:t>根据《省财政厅关于转发财政部关于进一步加强地方财政部门和预算单位资金存放管理的通知》（苏财库[2018]46号）精神，规范存放行为，防范廉政风险，提高资金综合效益，结合工作实际，做好本局存量资金存放管理工作。</w:t>
      </w:r>
    </w:p>
    <w:p>
      <w:pPr>
        <w:ind w:firstLine="480" w:firstLineChars="200"/>
        <w:rPr>
          <w:rFonts w:ascii="宋体" w:hAnsi="宋体"/>
          <w:bCs/>
          <w:sz w:val="24"/>
        </w:rPr>
      </w:pPr>
      <w:r>
        <w:rPr>
          <w:rFonts w:hint="eastAsia" w:ascii="宋体" w:hAnsi="宋体"/>
          <w:bCs/>
          <w:sz w:val="24"/>
        </w:rPr>
        <w:t>（一）竞争性存放资金范围。江苏省机关事务管理局局机关及局属单位需要转存定期的存量资金，资金总金额</w:t>
      </w:r>
      <w:r>
        <w:rPr>
          <w:rFonts w:ascii="宋体" w:hAnsi="宋体"/>
          <w:bCs/>
          <w:sz w:val="24"/>
        </w:rPr>
        <w:t>3.</w:t>
      </w:r>
      <w:r>
        <w:rPr>
          <w:rFonts w:hint="eastAsia" w:ascii="宋体" w:hAnsi="宋体"/>
          <w:bCs/>
          <w:sz w:val="24"/>
        </w:rPr>
        <w:t>2亿元。局机关的省级机关住房基金、资金中心的住房公积金除外。</w:t>
      </w:r>
    </w:p>
    <w:p>
      <w:pPr>
        <w:ind w:firstLine="480" w:firstLineChars="200"/>
        <w:rPr>
          <w:rFonts w:ascii="宋体" w:hAnsi="宋体"/>
          <w:bCs/>
          <w:sz w:val="24"/>
        </w:rPr>
      </w:pPr>
      <w:r>
        <w:rPr>
          <w:rFonts w:hint="eastAsia" w:ascii="宋体" w:hAnsi="宋体"/>
          <w:bCs/>
          <w:sz w:val="24"/>
        </w:rPr>
        <w:t>（二）本项目是在江苏省机关事务管理局局机关及局属单位截止2021年6月30日已开设活期账户或定期账户、2020年度代理江苏省级财政业务的金融机构的范围内组织竞争性评选。</w:t>
      </w:r>
    </w:p>
    <w:p>
      <w:pPr>
        <w:ind w:firstLine="480" w:firstLineChars="200"/>
        <w:rPr>
          <w:rFonts w:ascii="宋体" w:hAnsi="宋体"/>
          <w:bCs/>
          <w:sz w:val="24"/>
        </w:rPr>
      </w:pPr>
      <w:r>
        <w:rPr>
          <w:rFonts w:hint="eastAsia" w:ascii="宋体" w:hAnsi="宋体"/>
          <w:bCs/>
          <w:sz w:val="24"/>
        </w:rPr>
        <w:t>（三）评选要求。</w:t>
      </w:r>
    </w:p>
    <w:p>
      <w:pPr>
        <w:tabs>
          <w:tab w:val="left" w:pos="900"/>
        </w:tabs>
        <w:spacing w:line="560" w:lineRule="exact"/>
        <w:ind w:firstLine="480" w:firstLineChars="200"/>
        <w:rPr>
          <w:rFonts w:hAnsi="宋体"/>
          <w:i/>
          <w:iCs/>
          <w:sz w:val="24"/>
          <w:u w:val="single"/>
        </w:rPr>
      </w:pPr>
      <w:r>
        <w:rPr>
          <w:rFonts w:hint="eastAsia" w:ascii="宋体" w:hAnsi="宋体"/>
          <w:bCs/>
          <w:sz w:val="24"/>
        </w:rPr>
        <w:t>1、利率要求。</w:t>
      </w:r>
      <w:r>
        <w:rPr>
          <w:rFonts w:hint="eastAsia" w:ascii="宋体" w:hAnsi="宋体"/>
          <w:b/>
          <w:bCs/>
          <w:i/>
          <w:sz w:val="24"/>
          <w:u w:val="single"/>
        </w:rPr>
        <w:t>本项目响应利率报价为报名银行响应时所报的一年期及一年期以下定期存款利率报价（不接受大额存单等存款类金融产品），各报名银行响应时所报的定期存款利率上浮幅度不得低于人民银行公布的一年期及一年期以下定期存款基准利率加50BP，否则视为无效响应。</w:t>
      </w:r>
    </w:p>
    <w:p>
      <w:pPr>
        <w:ind w:firstLine="480" w:firstLineChars="200"/>
        <w:rPr>
          <w:rFonts w:ascii="宋体" w:hAnsi="宋体"/>
          <w:bCs/>
          <w:sz w:val="24"/>
        </w:rPr>
      </w:pPr>
      <w:r>
        <w:rPr>
          <w:rFonts w:hint="eastAsia" w:ascii="宋体" w:hAnsi="宋体"/>
          <w:bCs/>
          <w:sz w:val="24"/>
        </w:rPr>
        <w:t>2、银行经营状况。报名银行应当资产质量优良，具有良好的偿债能力和运营能力。风险控制体系健全，制度规章完善，落实措施有力。</w:t>
      </w:r>
    </w:p>
    <w:p>
      <w:pPr>
        <w:ind w:firstLine="480" w:firstLineChars="200"/>
        <w:rPr>
          <w:rFonts w:ascii="宋体" w:hAnsi="宋体"/>
          <w:bCs/>
          <w:sz w:val="24"/>
        </w:rPr>
      </w:pPr>
      <w:r>
        <w:rPr>
          <w:rFonts w:hint="eastAsia" w:ascii="宋体" w:hAnsi="宋体"/>
          <w:bCs/>
          <w:sz w:val="24"/>
        </w:rPr>
        <w:t>3、支持单位发展。报名银行应积极支持江苏省机关事务管理局机关及所属单位改革发展，并利用银行自身业务优势为单位改革发展提出针对性方案。报名银行应分别提出针对局机关和所属的省级机关房屋建设中心、省级机关服务管理处、省级机关第一幼儿园、实验幼儿园和省级机关物业管理中心的支持服务方案。</w:t>
      </w:r>
    </w:p>
    <w:p>
      <w:pPr>
        <w:ind w:firstLine="480" w:firstLineChars="200"/>
        <w:rPr>
          <w:rFonts w:ascii="宋体" w:hAnsi="宋体"/>
          <w:bCs/>
          <w:sz w:val="24"/>
        </w:rPr>
      </w:pPr>
      <w:r>
        <w:rPr>
          <w:rFonts w:hint="eastAsia" w:ascii="宋体" w:hAnsi="宋体"/>
          <w:bCs/>
          <w:sz w:val="24"/>
        </w:rPr>
        <w:t>4、服务水平方面。报名银行应配置服务团队，团队负责人和专属服务人员相对固定。在日常核算服务、账户管理服务、应急处理能力、单位金融服务、其他服务承诺等方面提高规范、便捷、高效服务。</w:t>
      </w:r>
    </w:p>
    <w:p>
      <w:pPr>
        <w:ind w:firstLine="480" w:firstLineChars="200"/>
        <w:rPr>
          <w:rFonts w:ascii="宋体" w:hAnsi="宋体"/>
          <w:bCs/>
          <w:sz w:val="24"/>
        </w:rPr>
      </w:pPr>
      <w:r>
        <w:rPr>
          <w:rFonts w:hint="eastAsia" w:ascii="宋体" w:hAnsi="宋体"/>
          <w:bCs/>
          <w:sz w:val="24"/>
        </w:rPr>
        <w:t>5、廉政承诺。</w:t>
      </w:r>
      <w:r>
        <w:rPr>
          <w:rFonts w:hint="eastAsia" w:ascii="宋体" w:hAnsi="宋体"/>
          <w:b/>
          <w:bCs/>
          <w:i/>
          <w:sz w:val="24"/>
          <w:u w:val="single"/>
        </w:rPr>
        <w:t>报名银行必须提供《廉政承诺书》，未提供《廉政承诺书》的将会被认为未实质性响应评选文件要求，由此带来的一切风险由报名银行自行承担。</w:t>
      </w:r>
    </w:p>
    <w:p>
      <w:pPr>
        <w:ind w:firstLine="480" w:firstLineChars="200"/>
        <w:rPr>
          <w:rFonts w:ascii="宋体" w:hAnsi="宋体"/>
          <w:bCs/>
          <w:sz w:val="24"/>
        </w:rPr>
      </w:pPr>
      <w:r>
        <w:rPr>
          <w:rFonts w:hint="eastAsia" w:ascii="宋体" w:hAnsi="宋体"/>
          <w:bCs/>
          <w:sz w:val="24"/>
        </w:rPr>
        <w:t>（四）竞争性评选。</w:t>
      </w:r>
    </w:p>
    <w:p>
      <w:pPr>
        <w:ind w:firstLine="480" w:firstLineChars="200"/>
        <w:rPr>
          <w:rFonts w:hint="eastAsia" w:ascii="宋体" w:hAnsi="宋体"/>
          <w:bCs/>
          <w:sz w:val="24"/>
        </w:rPr>
      </w:pPr>
      <w:r>
        <w:rPr>
          <w:rFonts w:hint="eastAsia" w:ascii="宋体" w:hAnsi="宋体"/>
          <w:bCs/>
          <w:sz w:val="24"/>
        </w:rPr>
        <w:t>江苏省机关事务管理局局机关及局属单位截止2021年6月30日已开设活期账户或定期账户、2020年度代理江苏省级财政业务的金融机构</w:t>
      </w:r>
      <w:r>
        <w:rPr>
          <w:rFonts w:hint="eastAsia" w:ascii="宋体" w:hAnsi="宋体"/>
          <w:bCs/>
          <w:sz w:val="24"/>
          <w:lang w:eastAsia="zh-CN"/>
        </w:rPr>
        <w:t>（</w:t>
      </w:r>
      <w:r>
        <w:rPr>
          <w:rFonts w:hint="eastAsia" w:ascii="宋体" w:hAnsi="宋体"/>
          <w:bCs/>
          <w:sz w:val="24"/>
          <w:lang w:val="en-US" w:eastAsia="zh-CN"/>
        </w:rPr>
        <w:t>详见第一章</w:t>
      </w:r>
      <w:r>
        <w:rPr>
          <w:rFonts w:hint="eastAsia" w:ascii="宋体" w:hAnsi="宋体"/>
          <w:bCs/>
          <w:sz w:val="24"/>
          <w:lang w:eastAsia="zh-CN"/>
        </w:rPr>
        <w:t>）</w:t>
      </w:r>
      <w:r>
        <w:rPr>
          <w:rFonts w:hint="eastAsia" w:ascii="宋体" w:hAnsi="宋体"/>
          <w:bCs/>
          <w:sz w:val="24"/>
        </w:rPr>
        <w:t>均可参与本次竞争性评选，以实际响应银行数为参评银行数。参与评选的银行应当就经营状况、利率水平、服务水平三方面按照评分标准中具体项目分别准备资料，评委根据各银行提供的书面材料进行打分，按综合得分进行排序取得分排名前5名为江苏省机关事务管理局定期存款存放银行。</w:t>
      </w:r>
    </w:p>
    <w:p>
      <w:pPr>
        <w:ind w:firstLine="480" w:firstLineChars="200"/>
        <w:rPr>
          <w:rFonts w:ascii="宋体" w:hAnsi="宋体"/>
          <w:bCs/>
          <w:sz w:val="24"/>
        </w:rPr>
      </w:pPr>
    </w:p>
    <w:p>
      <w:pPr>
        <w:ind w:firstLine="482" w:firstLineChars="200"/>
        <w:rPr>
          <w:rFonts w:ascii="宋体" w:hAnsi="宋体"/>
          <w:b/>
          <w:bCs/>
          <w:i/>
          <w:sz w:val="24"/>
          <w:u w:val="single"/>
        </w:rPr>
      </w:pPr>
      <w:r>
        <w:rPr>
          <w:rFonts w:hint="eastAsia" w:ascii="宋体" w:hAnsi="宋体"/>
          <w:b/>
          <w:bCs/>
          <w:i/>
          <w:sz w:val="24"/>
          <w:u w:val="single"/>
        </w:rPr>
        <w:t>报名银行或候选银行不足5家时，本项目按作废处理。</w:t>
      </w:r>
    </w:p>
    <w:p>
      <w:pPr>
        <w:ind w:firstLine="480" w:firstLineChars="200"/>
        <w:rPr>
          <w:rFonts w:ascii="宋体" w:hAnsi="宋体"/>
          <w:bCs/>
          <w:sz w:val="24"/>
        </w:rPr>
      </w:pPr>
      <w:r>
        <w:rPr>
          <w:rFonts w:hint="eastAsia" w:ascii="宋体" w:hAnsi="宋体"/>
          <w:bCs/>
          <w:sz w:val="24"/>
        </w:rPr>
        <w:t>（五）评选结果及运用。</w:t>
      </w:r>
    </w:p>
    <w:p>
      <w:pPr>
        <w:ind w:firstLine="480" w:firstLineChars="200"/>
        <w:rPr>
          <w:rFonts w:ascii="宋体" w:hAnsi="宋体"/>
          <w:bCs/>
          <w:sz w:val="24"/>
        </w:rPr>
      </w:pPr>
      <w:r>
        <w:rPr>
          <w:rFonts w:hint="eastAsia" w:ascii="宋体" w:hAnsi="宋体"/>
          <w:bCs/>
          <w:sz w:val="24"/>
        </w:rPr>
        <w:t>一、存量资金的分配。第1名的候选银行定期存款资金占30%；第2名的候选银行定期存款资金占25%；第3名的候选银行定期存款资金占20%；第4名的候选银行定期存款资金占15%；第5名的候选银行定期存款资金占10%。</w:t>
      </w:r>
    </w:p>
    <w:p>
      <w:pPr>
        <w:ind w:firstLine="480" w:firstLineChars="200"/>
        <w:rPr>
          <w:rFonts w:ascii="宋体" w:hAnsi="宋体"/>
          <w:bCs/>
          <w:sz w:val="24"/>
        </w:rPr>
      </w:pPr>
      <w:r>
        <w:rPr>
          <w:rFonts w:hint="eastAsia" w:ascii="宋体" w:hAnsi="宋体"/>
          <w:bCs/>
          <w:sz w:val="24"/>
        </w:rPr>
        <w:t>二、所有存款存期一年，一年到期前经考核，服务承诺完全兑现的，可续存一年。现仍在定期续存期间的定期存款，待到期后办理转存。</w:t>
      </w:r>
    </w:p>
    <w:p>
      <w:pPr>
        <w:ind w:firstLine="480" w:firstLineChars="200"/>
        <w:rPr>
          <w:rFonts w:ascii="宋体" w:hAnsi="宋体"/>
          <w:bCs/>
          <w:sz w:val="24"/>
        </w:rPr>
      </w:pPr>
      <w:r>
        <w:rPr>
          <w:rFonts w:hint="eastAsia" w:ascii="宋体" w:hAnsi="宋体"/>
          <w:bCs/>
          <w:sz w:val="24"/>
        </w:rPr>
        <w:t>三、所有资金存款利率均按各候选银行响应利率报价执行。</w:t>
      </w:r>
    </w:p>
    <w:p>
      <w:pPr>
        <w:pStyle w:val="2"/>
        <w:rPr>
          <w:rFonts w:ascii="黑体" w:eastAsia="黑体"/>
          <w:bCs/>
          <w:sz w:val="44"/>
        </w:rPr>
      </w:pPr>
      <w:bookmarkStart w:id="125" w:name="_Toc120614281"/>
      <w:r>
        <w:rPr>
          <w:rFonts w:ascii="黑体" w:eastAsia="黑体"/>
          <w:bCs/>
          <w:sz w:val="44"/>
        </w:rPr>
        <w:br w:type="page"/>
      </w:r>
      <w:r>
        <w:rPr>
          <w:rFonts w:hint="eastAsia" w:ascii="黑体" w:eastAsia="黑体"/>
          <w:bCs/>
          <w:sz w:val="44"/>
        </w:rPr>
        <w:t xml:space="preserve">第五章  </w:t>
      </w:r>
      <w:r>
        <w:rPr>
          <w:rFonts w:hint="eastAsia" w:ascii="黑体" w:eastAsia="黑体"/>
          <w:b/>
          <w:bCs/>
          <w:sz w:val="44"/>
        </w:rPr>
        <w:t>评选方法与评选标准</w:t>
      </w:r>
    </w:p>
    <w:p>
      <w:pPr>
        <w:pStyle w:val="89"/>
        <w:ind w:firstLine="482" w:firstLineChars="200"/>
        <w:rPr>
          <w:rFonts w:ascii="宋体" w:hAnsi="宋体"/>
          <w:b/>
          <w:sz w:val="36"/>
          <w:szCs w:val="36"/>
        </w:rPr>
      </w:pPr>
      <w:r>
        <w:rPr>
          <w:rFonts w:hint="eastAsia" w:ascii="宋体" w:hAnsi="宋体"/>
          <w:b/>
        </w:rPr>
        <w:t>一、评选方法：</w:t>
      </w:r>
    </w:p>
    <w:p>
      <w:pPr>
        <w:spacing w:line="276" w:lineRule="auto"/>
        <w:ind w:firstLine="480" w:firstLineChars="200"/>
        <w:rPr>
          <w:rFonts w:ascii="宋体" w:hAnsi="宋体"/>
          <w:bCs/>
          <w:sz w:val="24"/>
        </w:rPr>
      </w:pPr>
      <w:r>
        <w:rPr>
          <w:rFonts w:hint="eastAsia" w:ascii="宋体" w:hAnsi="宋体"/>
          <w:bCs/>
          <w:sz w:val="24"/>
        </w:rPr>
        <w:t>本项目</w:t>
      </w:r>
      <w:r>
        <w:rPr>
          <w:rFonts w:ascii="宋体" w:hAnsi="宋体"/>
          <w:bCs/>
          <w:sz w:val="24"/>
        </w:rPr>
        <w:t>采用综合评分法，</w:t>
      </w:r>
      <w:r>
        <w:rPr>
          <w:rFonts w:hint="eastAsia" w:ascii="宋体" w:hAnsi="宋体"/>
          <w:bCs/>
          <w:sz w:val="24"/>
        </w:rPr>
        <w:t>响应文件须</w:t>
      </w:r>
      <w:r>
        <w:rPr>
          <w:rFonts w:ascii="宋体" w:hAnsi="宋体"/>
          <w:bCs/>
          <w:sz w:val="24"/>
        </w:rPr>
        <w:t>满足</w:t>
      </w:r>
      <w:r>
        <w:rPr>
          <w:rFonts w:hint="eastAsia" w:ascii="宋体" w:hAnsi="宋体"/>
          <w:bCs/>
          <w:sz w:val="24"/>
        </w:rPr>
        <w:t>评选文件</w:t>
      </w:r>
      <w:r>
        <w:rPr>
          <w:rFonts w:ascii="宋体" w:hAnsi="宋体"/>
          <w:bCs/>
          <w:sz w:val="24"/>
        </w:rPr>
        <w:t>全部实质性要求，</w:t>
      </w:r>
      <w:r>
        <w:rPr>
          <w:rFonts w:hint="eastAsia" w:ascii="宋体" w:hAnsi="宋体"/>
          <w:bCs/>
          <w:sz w:val="24"/>
        </w:rPr>
        <w:t>评选</w:t>
      </w:r>
      <w:r>
        <w:rPr>
          <w:rFonts w:ascii="宋体" w:hAnsi="宋体"/>
          <w:bCs/>
          <w:sz w:val="24"/>
        </w:rPr>
        <w:t>结果按</w:t>
      </w:r>
      <w:r>
        <w:rPr>
          <w:rFonts w:hint="eastAsia" w:ascii="宋体" w:hAnsi="宋体"/>
          <w:bCs/>
          <w:sz w:val="24"/>
        </w:rPr>
        <w:t>现场</w:t>
      </w:r>
      <w:r>
        <w:rPr>
          <w:rFonts w:ascii="宋体" w:hAnsi="宋体"/>
          <w:bCs/>
          <w:sz w:val="24"/>
        </w:rPr>
        <w:t>评</w:t>
      </w:r>
      <w:r>
        <w:rPr>
          <w:rFonts w:hint="eastAsia" w:ascii="宋体" w:hAnsi="宋体"/>
          <w:bCs/>
          <w:sz w:val="24"/>
        </w:rPr>
        <w:t>选后综合</w:t>
      </w:r>
      <w:r>
        <w:rPr>
          <w:rFonts w:ascii="宋体" w:hAnsi="宋体"/>
          <w:bCs/>
          <w:sz w:val="24"/>
        </w:rPr>
        <w:t>得分由高到低</w:t>
      </w:r>
      <w:r>
        <w:rPr>
          <w:rFonts w:hint="eastAsia" w:ascii="宋体" w:hAnsi="宋体"/>
          <w:bCs/>
          <w:sz w:val="24"/>
        </w:rPr>
        <w:t>的</w:t>
      </w:r>
      <w:r>
        <w:rPr>
          <w:rFonts w:ascii="宋体" w:hAnsi="宋体"/>
          <w:bCs/>
          <w:sz w:val="24"/>
        </w:rPr>
        <w:t>顺序排列</w:t>
      </w:r>
      <w:r>
        <w:rPr>
          <w:rFonts w:hint="eastAsia" w:ascii="宋体" w:hAnsi="宋体"/>
          <w:bCs/>
          <w:sz w:val="24"/>
        </w:rPr>
        <w:t>出各候选银行</w:t>
      </w:r>
      <w:r>
        <w:rPr>
          <w:rFonts w:ascii="宋体" w:hAnsi="宋体"/>
          <w:bCs/>
          <w:sz w:val="24"/>
        </w:rPr>
        <w:t>。</w:t>
      </w:r>
      <w:r>
        <w:rPr>
          <w:rFonts w:hint="eastAsia" w:ascii="宋体" w:hAnsi="宋体"/>
          <w:bCs/>
          <w:sz w:val="24"/>
        </w:rPr>
        <w:t>得分相同的，按响应利率报价（定期存款利率上浮比例）由高到低顺序排列。得分且响应利率报价相同的按服务水平由高到低的顺序排列。评选委员会根据本评选文件规定评选方法与评选标准向评选委托方推荐出5名候选银行。</w:t>
      </w:r>
    </w:p>
    <w:p>
      <w:pPr>
        <w:spacing w:line="276" w:lineRule="auto"/>
        <w:ind w:firstLine="482" w:firstLineChars="200"/>
        <w:rPr>
          <w:rFonts w:ascii="宋体" w:hAnsi="宋体"/>
          <w:b/>
          <w:sz w:val="24"/>
          <w:szCs w:val="24"/>
        </w:rPr>
      </w:pPr>
      <w:r>
        <w:rPr>
          <w:rFonts w:hint="eastAsia" w:ascii="宋体" w:hAnsi="宋体"/>
          <w:b/>
          <w:sz w:val="24"/>
          <w:szCs w:val="24"/>
        </w:rPr>
        <w:t>二、评选标准：</w:t>
      </w:r>
    </w:p>
    <w:p>
      <w:pPr>
        <w:spacing w:line="276" w:lineRule="auto"/>
        <w:ind w:firstLine="480" w:firstLineChars="200"/>
        <w:rPr>
          <w:rFonts w:ascii="宋体" w:hAnsi="宋体"/>
          <w:bCs/>
          <w:sz w:val="24"/>
        </w:rPr>
      </w:pPr>
      <w:r>
        <w:rPr>
          <w:rFonts w:hint="eastAsia" w:ascii="宋体" w:hAnsi="宋体"/>
          <w:bCs/>
          <w:sz w:val="24"/>
        </w:rPr>
        <w:t>评选委员会将按下列评选方法和评选标准进行评选，总分为100分，得分保留小数点后2位。评审主要从经营状况、利率水平、服务水平三方面进行评审。</w:t>
      </w:r>
    </w:p>
    <w:tbl>
      <w:tblPr>
        <w:tblStyle w:val="50"/>
        <w:tblW w:w="9489" w:type="dxa"/>
        <w:jc w:val="center"/>
        <w:tblInd w:w="-3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752"/>
        <w:gridCol w:w="1125"/>
        <w:gridCol w:w="5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 w:hRule="atLeast"/>
          <w:jc w:val="center"/>
        </w:trPr>
        <w:tc>
          <w:tcPr>
            <w:tcW w:w="2861" w:type="dxa"/>
            <w:gridSpan w:val="2"/>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评审因素</w:t>
            </w:r>
          </w:p>
        </w:tc>
        <w:tc>
          <w:tcPr>
            <w:tcW w:w="1125" w:type="dxa"/>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分值</w:t>
            </w:r>
          </w:p>
        </w:tc>
        <w:tc>
          <w:tcPr>
            <w:tcW w:w="5503" w:type="dxa"/>
            <w:vAlign w:val="center"/>
          </w:tcPr>
          <w:p>
            <w:pPr>
              <w:spacing w:line="420" w:lineRule="exact"/>
              <w:jc w:val="center"/>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0" w:hRule="atLeast"/>
          <w:jc w:val="center"/>
        </w:trPr>
        <w:tc>
          <w:tcPr>
            <w:tcW w:w="1109" w:type="dxa"/>
            <w:vMerge w:val="restart"/>
            <w:vAlign w:val="center"/>
          </w:tcPr>
          <w:p>
            <w:pPr>
              <w:spacing w:line="276" w:lineRule="auto"/>
              <w:jc w:val="center"/>
              <w:rPr>
                <w:rFonts w:ascii="宋体" w:hAnsi="宋体"/>
                <w:bCs/>
                <w:sz w:val="24"/>
              </w:rPr>
            </w:pPr>
            <w:r>
              <w:rPr>
                <w:rFonts w:hint="eastAsia" w:ascii="宋体" w:hAnsi="宋体"/>
                <w:bCs/>
                <w:sz w:val="24"/>
              </w:rPr>
              <w:t>经营</w:t>
            </w:r>
          </w:p>
          <w:p>
            <w:pPr>
              <w:spacing w:line="276" w:lineRule="auto"/>
              <w:jc w:val="center"/>
              <w:rPr>
                <w:rFonts w:ascii="宋体" w:hAnsi="宋体"/>
                <w:bCs/>
                <w:sz w:val="24"/>
              </w:rPr>
            </w:pPr>
            <w:r>
              <w:rPr>
                <w:rFonts w:hint="eastAsia" w:ascii="宋体" w:hAnsi="宋体"/>
                <w:bCs/>
                <w:sz w:val="24"/>
              </w:rPr>
              <w:t>状况</w:t>
            </w:r>
          </w:p>
          <w:p>
            <w:pPr>
              <w:spacing w:line="276" w:lineRule="auto"/>
              <w:jc w:val="center"/>
              <w:rPr>
                <w:rFonts w:ascii="宋体" w:hAnsi="宋体"/>
                <w:bCs/>
                <w:sz w:val="24"/>
              </w:rPr>
            </w:pPr>
            <w:r>
              <w:rPr>
                <w:rFonts w:hint="eastAsia" w:ascii="宋体" w:hAnsi="宋体"/>
                <w:bCs/>
                <w:sz w:val="24"/>
              </w:rPr>
              <w:t>（25分）</w:t>
            </w:r>
          </w:p>
        </w:tc>
        <w:tc>
          <w:tcPr>
            <w:tcW w:w="1752" w:type="dxa"/>
            <w:vAlign w:val="center"/>
          </w:tcPr>
          <w:p>
            <w:pPr>
              <w:spacing w:line="276" w:lineRule="auto"/>
              <w:jc w:val="center"/>
              <w:rPr>
                <w:rFonts w:ascii="宋体" w:hAnsi="宋体"/>
                <w:bCs/>
                <w:sz w:val="24"/>
              </w:rPr>
            </w:pPr>
            <w:r>
              <w:rPr>
                <w:rFonts w:hint="eastAsia" w:ascii="宋体" w:hAnsi="宋体"/>
                <w:bCs/>
                <w:sz w:val="24"/>
              </w:rPr>
              <w:t>行业综合评价</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vAlign w:val="center"/>
          </w:tcPr>
          <w:p>
            <w:pPr>
              <w:spacing w:line="276" w:lineRule="auto"/>
              <w:rPr>
                <w:rFonts w:ascii="宋体" w:hAnsi="宋体"/>
                <w:bCs/>
                <w:sz w:val="24"/>
              </w:rPr>
            </w:pPr>
            <w:r>
              <w:rPr>
                <w:rFonts w:hint="eastAsia" w:ascii="宋体" w:hAnsi="宋体"/>
                <w:bCs/>
                <w:sz w:val="24"/>
              </w:rPr>
              <w:t>根据人民银行南京分行对报名银行</w:t>
            </w:r>
            <w:r>
              <w:rPr>
                <w:rFonts w:ascii="宋体" w:hAnsi="宋体"/>
                <w:bCs/>
                <w:sz w:val="24"/>
              </w:rPr>
              <w:t>2018-2020年度综合评价结果打分，三年分别计分，评价等级为A类的得2.5分，评价等级为B类的得1.5分，评价等级为C类的得0.5分，评价等级为C</w:t>
            </w:r>
            <w:r>
              <w:rPr>
                <w:rFonts w:hint="eastAsia" w:ascii="宋体" w:hAnsi="宋体"/>
                <w:bCs/>
                <w:sz w:val="24"/>
              </w:rPr>
              <w:t>类以下不得分，最高得分不超过</w:t>
            </w:r>
            <w:r>
              <w:rPr>
                <w:rFonts w:ascii="宋体" w:hAnsi="宋体"/>
                <w:bCs/>
                <w:sz w:val="24"/>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6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资本充足率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资本充足率：单项指标得分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5"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不良贷款率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不良贷款率：单项指标得分</w:t>
            </w:r>
            <w:r>
              <w:rPr>
                <w:rFonts w:ascii="宋体" w:hAnsi="宋体"/>
                <w:bCs/>
                <w:sz w:val="24"/>
              </w:rPr>
              <w:t>=所有</w:t>
            </w:r>
            <w:r>
              <w:rPr>
                <w:rFonts w:hint="eastAsia" w:ascii="宋体" w:hAnsi="宋体"/>
                <w:bCs/>
                <w:sz w:val="24"/>
              </w:rPr>
              <w:t>报名银行在本单项指标数值中的最小值</w:t>
            </w:r>
            <w:r>
              <w:rPr>
                <w:rFonts w:ascii="宋体" w:hAnsi="宋体"/>
                <w:bCs/>
                <w:sz w:val="24"/>
              </w:rPr>
              <w:t>/</w:t>
            </w:r>
            <w:r>
              <w:rPr>
                <w:rFonts w:hint="eastAsia" w:ascii="宋体" w:hAnsi="宋体"/>
                <w:bCs/>
                <w:sz w:val="24"/>
              </w:rPr>
              <w:t>报名银行单项指标数值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5"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流动性比例</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流动性比例：单项指标得分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净资产收益率</w:t>
            </w:r>
          </w:p>
        </w:tc>
        <w:tc>
          <w:tcPr>
            <w:tcW w:w="1125" w:type="dxa"/>
            <w:vAlign w:val="center"/>
          </w:tcPr>
          <w:p>
            <w:pPr>
              <w:spacing w:line="276" w:lineRule="auto"/>
              <w:jc w:val="center"/>
              <w:rPr>
                <w:rFonts w:ascii="宋体" w:hAnsi="宋体"/>
                <w:bCs/>
                <w:sz w:val="24"/>
              </w:rPr>
            </w:pPr>
            <w:r>
              <w:rPr>
                <w:rFonts w:hint="eastAsia" w:ascii="宋体" w:hAnsi="宋体"/>
                <w:bCs/>
                <w:sz w:val="24"/>
              </w:rPr>
              <w:t>2分</w:t>
            </w:r>
          </w:p>
        </w:tc>
        <w:tc>
          <w:tcPr>
            <w:tcW w:w="5503" w:type="dxa"/>
            <w:vAlign w:val="center"/>
          </w:tcPr>
          <w:p>
            <w:pPr>
              <w:spacing w:line="276" w:lineRule="auto"/>
              <w:rPr>
                <w:rFonts w:ascii="宋体" w:hAnsi="宋体"/>
                <w:bCs/>
                <w:sz w:val="24"/>
              </w:rPr>
            </w:pPr>
            <w:r>
              <w:rPr>
                <w:rFonts w:hint="eastAsia" w:ascii="宋体" w:hAnsi="宋体"/>
                <w:bCs/>
                <w:sz w:val="24"/>
              </w:rPr>
              <w:t>净资产收益率：单项指标得分</w:t>
            </w:r>
            <w:r>
              <w:rPr>
                <w:rFonts w:ascii="宋体" w:hAnsi="宋体"/>
                <w:bCs/>
                <w:sz w:val="24"/>
              </w:rPr>
              <w:t>=</w:t>
            </w:r>
            <w:r>
              <w:rPr>
                <w:rFonts w:hint="eastAsia" w:ascii="宋体" w:hAnsi="宋体"/>
                <w:bCs/>
                <w:sz w:val="24"/>
              </w:rPr>
              <w:t>报名银行单项指标数值</w:t>
            </w:r>
            <w:r>
              <w:rPr>
                <w:rFonts w:ascii="宋体" w:hAnsi="宋体"/>
                <w:bCs/>
                <w:sz w:val="24"/>
              </w:rPr>
              <w:t>/所有</w:t>
            </w:r>
            <w:r>
              <w:rPr>
                <w:rFonts w:hint="eastAsia" w:ascii="宋体" w:hAnsi="宋体"/>
                <w:bCs/>
                <w:sz w:val="24"/>
              </w:rPr>
              <w:t>报名银行在本单项指标数值中的最大值</w:t>
            </w:r>
            <w:r>
              <w:rPr>
                <w:rFonts w:ascii="宋体" w:hAnsi="宋体"/>
                <w:bCs/>
                <w:sz w:val="24"/>
              </w:rPr>
              <w:t>×2得分。（根据</w:t>
            </w:r>
            <w:r>
              <w:rPr>
                <w:rFonts w:hint="eastAsia" w:ascii="宋体" w:hAnsi="宋体"/>
                <w:bCs/>
                <w:sz w:val="24"/>
              </w:rPr>
              <w:t>报名银行总行</w:t>
            </w:r>
            <w:r>
              <w:rPr>
                <w:rFonts w:ascii="宋体" w:hAnsi="宋体"/>
                <w:bCs/>
                <w:sz w:val="24"/>
              </w:rPr>
              <w:t>2020年度财报数据）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00" w:hRule="atLeast"/>
          <w:jc w:val="center"/>
        </w:trPr>
        <w:tc>
          <w:tcPr>
            <w:tcW w:w="1109" w:type="dxa"/>
            <w:vMerge w:val="continue"/>
            <w:vAlign w:val="center"/>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省级机关服务影响力</w:t>
            </w:r>
          </w:p>
          <w:p>
            <w:pPr>
              <w:spacing w:line="276" w:lineRule="auto"/>
              <w:jc w:val="center"/>
              <w:rPr>
                <w:rFonts w:ascii="宋体" w:hAnsi="宋体"/>
                <w:bCs/>
                <w:sz w:val="24"/>
              </w:rPr>
            </w:pPr>
          </w:p>
        </w:tc>
        <w:tc>
          <w:tcPr>
            <w:tcW w:w="1125" w:type="dxa"/>
            <w:vAlign w:val="center"/>
          </w:tcPr>
          <w:p>
            <w:pPr>
              <w:spacing w:line="276" w:lineRule="auto"/>
              <w:jc w:val="center"/>
              <w:rPr>
                <w:rFonts w:ascii="宋体" w:hAnsi="宋体"/>
                <w:bCs/>
                <w:sz w:val="24"/>
              </w:rPr>
            </w:pPr>
            <w:r>
              <w:rPr>
                <w:rFonts w:hint="eastAsia" w:ascii="宋体" w:hAnsi="宋体"/>
                <w:bCs/>
                <w:sz w:val="24"/>
              </w:rPr>
              <w:t>10分</w:t>
            </w:r>
          </w:p>
        </w:tc>
        <w:tc>
          <w:tcPr>
            <w:tcW w:w="5503" w:type="dxa"/>
            <w:vAlign w:val="center"/>
          </w:tcPr>
          <w:p>
            <w:pPr>
              <w:spacing w:line="276" w:lineRule="auto"/>
              <w:rPr>
                <w:rFonts w:ascii="宋体" w:hAnsi="宋体"/>
                <w:bCs/>
                <w:sz w:val="24"/>
              </w:rPr>
            </w:pPr>
            <w:r>
              <w:rPr>
                <w:rFonts w:hint="eastAsia" w:ascii="宋体" w:hAnsi="宋体"/>
                <w:bCs/>
                <w:sz w:val="24"/>
              </w:rPr>
              <w:t>报名银行为省财政厅国库集中支付银行的得</w:t>
            </w:r>
            <w:r>
              <w:rPr>
                <w:rFonts w:ascii="宋体" w:hAnsi="宋体"/>
                <w:bCs/>
                <w:sz w:val="24"/>
              </w:rPr>
              <w:t>1.5分；</w:t>
            </w:r>
            <w:r>
              <w:rPr>
                <w:rFonts w:hint="eastAsia" w:ascii="宋体" w:hAnsi="宋体"/>
                <w:bCs/>
                <w:sz w:val="24"/>
              </w:rPr>
              <w:t>报名银行为省财政非税代理银行的得</w:t>
            </w:r>
            <w:r>
              <w:rPr>
                <w:rFonts w:ascii="宋体" w:hAnsi="宋体"/>
                <w:bCs/>
                <w:sz w:val="24"/>
              </w:rPr>
              <w:t>1.5分；</w:t>
            </w:r>
            <w:r>
              <w:rPr>
                <w:rFonts w:hint="eastAsia" w:ascii="宋体" w:hAnsi="宋体"/>
                <w:bCs/>
                <w:sz w:val="24"/>
              </w:rPr>
              <w:t>报名银行代理我局机关或局属单位省财政非税代理银行的得</w:t>
            </w:r>
            <w:r>
              <w:rPr>
                <w:rFonts w:ascii="宋体" w:hAnsi="宋体"/>
                <w:bCs/>
                <w:sz w:val="24"/>
              </w:rPr>
              <w:t>2分；</w:t>
            </w:r>
            <w:r>
              <w:rPr>
                <w:rFonts w:hint="eastAsia" w:ascii="宋体" w:hAnsi="宋体"/>
                <w:bCs/>
                <w:sz w:val="24"/>
              </w:rPr>
              <w:t>报名银行代理我局机关或局属单位国库支付的得</w:t>
            </w:r>
            <w:r>
              <w:rPr>
                <w:rFonts w:ascii="宋体" w:hAnsi="宋体"/>
                <w:bCs/>
                <w:sz w:val="24"/>
              </w:rPr>
              <w:t>2.5分；</w:t>
            </w:r>
            <w:r>
              <w:rPr>
                <w:rFonts w:hint="eastAsia" w:ascii="宋体" w:hAnsi="宋体"/>
                <w:bCs/>
                <w:sz w:val="24"/>
              </w:rPr>
              <w:t>报名银行在我局机关或局属单位开设基本户的银行得</w:t>
            </w:r>
            <w:r>
              <w:rPr>
                <w:rFonts w:ascii="宋体" w:hAnsi="宋体"/>
                <w:bCs/>
                <w:sz w:val="24"/>
              </w:rPr>
              <w:t>2.5分。必须提供相关证明文件。（以2020年度为准）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5" w:hRule="atLeast"/>
          <w:jc w:val="center"/>
        </w:trPr>
        <w:tc>
          <w:tcPr>
            <w:tcW w:w="1109" w:type="dxa"/>
            <w:vAlign w:val="center"/>
          </w:tcPr>
          <w:p>
            <w:pPr>
              <w:spacing w:line="276" w:lineRule="auto"/>
              <w:jc w:val="center"/>
              <w:rPr>
                <w:rFonts w:ascii="宋体" w:hAnsi="宋体"/>
                <w:bCs/>
                <w:sz w:val="24"/>
              </w:rPr>
            </w:pPr>
            <w:r>
              <w:rPr>
                <w:rFonts w:hint="eastAsia" w:ascii="宋体" w:hAnsi="宋体"/>
                <w:bCs/>
                <w:sz w:val="24"/>
              </w:rPr>
              <w:t>利率</w:t>
            </w:r>
          </w:p>
          <w:p>
            <w:pPr>
              <w:spacing w:line="276" w:lineRule="auto"/>
              <w:jc w:val="center"/>
              <w:rPr>
                <w:rFonts w:ascii="宋体" w:hAnsi="宋体"/>
                <w:bCs/>
                <w:sz w:val="24"/>
              </w:rPr>
            </w:pPr>
            <w:r>
              <w:rPr>
                <w:rFonts w:hint="eastAsia" w:ascii="宋体" w:hAnsi="宋体"/>
                <w:bCs/>
                <w:sz w:val="24"/>
              </w:rPr>
              <w:t>水平</w:t>
            </w:r>
          </w:p>
          <w:p>
            <w:pPr>
              <w:spacing w:line="276" w:lineRule="auto"/>
              <w:jc w:val="center"/>
              <w:rPr>
                <w:rFonts w:ascii="宋体" w:hAnsi="宋体"/>
                <w:bCs/>
                <w:sz w:val="24"/>
              </w:rPr>
            </w:pPr>
            <w:r>
              <w:rPr>
                <w:rFonts w:hint="eastAsia" w:ascii="宋体" w:hAnsi="宋体"/>
                <w:bCs/>
                <w:sz w:val="24"/>
              </w:rPr>
              <w:t>（20分）</w:t>
            </w:r>
          </w:p>
        </w:tc>
        <w:tc>
          <w:tcPr>
            <w:tcW w:w="1752" w:type="dxa"/>
            <w:vAlign w:val="center"/>
          </w:tcPr>
          <w:p>
            <w:pPr>
              <w:spacing w:line="276" w:lineRule="auto"/>
              <w:jc w:val="center"/>
              <w:rPr>
                <w:rFonts w:ascii="宋体" w:hAnsi="宋体"/>
                <w:bCs/>
                <w:sz w:val="24"/>
              </w:rPr>
            </w:pPr>
            <w:r>
              <w:rPr>
                <w:rFonts w:hint="eastAsia" w:ascii="宋体" w:hAnsi="宋体"/>
                <w:bCs/>
                <w:sz w:val="24"/>
              </w:rPr>
              <w:t>定期存款利率</w:t>
            </w:r>
          </w:p>
        </w:tc>
        <w:tc>
          <w:tcPr>
            <w:tcW w:w="1125" w:type="dxa"/>
            <w:vAlign w:val="center"/>
          </w:tcPr>
          <w:p>
            <w:pPr>
              <w:spacing w:line="276" w:lineRule="auto"/>
              <w:jc w:val="center"/>
              <w:rPr>
                <w:rFonts w:ascii="宋体" w:hAnsi="宋体"/>
                <w:bCs/>
                <w:sz w:val="24"/>
              </w:rPr>
            </w:pPr>
            <w:r>
              <w:rPr>
                <w:rFonts w:hint="eastAsia" w:ascii="宋体" w:hAnsi="宋体"/>
                <w:bCs/>
                <w:sz w:val="24"/>
              </w:rPr>
              <w:t>20分</w:t>
            </w:r>
          </w:p>
        </w:tc>
        <w:tc>
          <w:tcPr>
            <w:tcW w:w="5503" w:type="dxa"/>
            <w:vAlign w:val="center"/>
          </w:tcPr>
          <w:p>
            <w:pPr>
              <w:spacing w:line="276" w:lineRule="auto"/>
              <w:rPr>
                <w:rFonts w:ascii="宋体" w:hAnsi="宋体"/>
                <w:bCs/>
                <w:sz w:val="24"/>
              </w:rPr>
            </w:pPr>
            <w:r>
              <w:rPr>
                <w:rFonts w:hint="eastAsia" w:ascii="宋体" w:hAnsi="宋体" w:cs="宋体"/>
                <w:b/>
                <w:sz w:val="24"/>
                <w:szCs w:val="24"/>
              </w:rPr>
              <w:t>以各报名银行所报的</w:t>
            </w:r>
            <w:r>
              <w:rPr>
                <w:rFonts w:hint="eastAsia" w:ascii="宋体" w:hAnsi="宋体"/>
                <w:b/>
                <w:bCs/>
                <w:sz w:val="24"/>
              </w:rPr>
              <w:t>一年期及一年期以下定期存款利率报价</w:t>
            </w:r>
            <w:r>
              <w:rPr>
                <w:rFonts w:hint="eastAsia" w:ascii="宋体" w:hAnsi="宋体"/>
                <w:bCs/>
                <w:sz w:val="24"/>
              </w:rPr>
              <w:t>进行评审。</w:t>
            </w:r>
          </w:p>
          <w:p>
            <w:pPr>
              <w:spacing w:line="276" w:lineRule="auto"/>
              <w:rPr>
                <w:rFonts w:ascii="宋体" w:hAnsi="宋体"/>
                <w:bCs/>
                <w:sz w:val="24"/>
              </w:rPr>
            </w:pPr>
            <w:r>
              <w:rPr>
                <w:rFonts w:hint="eastAsia" w:ascii="宋体" w:hAnsi="宋体"/>
                <w:bCs/>
                <w:sz w:val="24"/>
              </w:rPr>
              <w:t>以</w:t>
            </w:r>
            <w:r>
              <w:rPr>
                <w:rFonts w:hint="eastAsia" w:ascii="宋体" w:hAnsi="宋体" w:cs="宋体"/>
                <w:b/>
                <w:sz w:val="24"/>
                <w:szCs w:val="24"/>
              </w:rPr>
              <w:t>各报名银行所报的</w:t>
            </w:r>
            <w:r>
              <w:rPr>
                <w:rFonts w:hint="eastAsia" w:ascii="宋体" w:hAnsi="宋体"/>
                <w:b/>
                <w:bCs/>
                <w:sz w:val="24"/>
              </w:rPr>
              <w:t>一年期及一年期以下定期存款利率报价最高的报价</w:t>
            </w:r>
            <w:r>
              <w:rPr>
                <w:rFonts w:hint="eastAsia" w:ascii="宋体" w:hAnsi="宋体"/>
                <w:bCs/>
                <w:sz w:val="24"/>
              </w:rPr>
              <w:t>为评选基准价，得满分</w:t>
            </w:r>
            <w:r>
              <w:rPr>
                <w:rFonts w:ascii="宋体" w:hAnsi="宋体"/>
                <w:bCs/>
                <w:sz w:val="24"/>
              </w:rPr>
              <w:t>20分；其他银行按照：</w:t>
            </w:r>
            <w:r>
              <w:rPr>
                <w:rFonts w:hint="eastAsia" w:ascii="宋体" w:hAnsi="宋体" w:cs="宋体"/>
                <w:b/>
                <w:sz w:val="24"/>
                <w:szCs w:val="24"/>
              </w:rPr>
              <w:t>各报名银行所报的</w:t>
            </w:r>
            <w:r>
              <w:rPr>
                <w:rFonts w:hint="eastAsia" w:ascii="宋体" w:hAnsi="宋体"/>
                <w:b/>
                <w:bCs/>
                <w:sz w:val="24"/>
              </w:rPr>
              <w:t>一年期及一年期以下定期存款利率报价</w:t>
            </w:r>
            <w:r>
              <w:rPr>
                <w:rFonts w:ascii="宋体" w:hAnsi="宋体"/>
                <w:bCs/>
                <w:sz w:val="24"/>
              </w:rPr>
              <w:t>/</w:t>
            </w:r>
            <w:r>
              <w:rPr>
                <w:rFonts w:hint="eastAsia" w:ascii="宋体" w:hAnsi="宋体"/>
                <w:bCs/>
                <w:sz w:val="24"/>
              </w:rPr>
              <w:t>评选基准价</w:t>
            </w:r>
            <w:r>
              <w:rPr>
                <w:rFonts w:ascii="宋体" w:hAnsi="宋体"/>
                <w:bCs/>
                <w:sz w:val="24"/>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0" w:hRule="atLeast"/>
          <w:jc w:val="center"/>
        </w:trPr>
        <w:tc>
          <w:tcPr>
            <w:tcW w:w="1109" w:type="dxa"/>
            <w:vMerge w:val="restart"/>
            <w:vAlign w:val="center"/>
          </w:tcPr>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jc w:val="center"/>
              <w:rPr>
                <w:rFonts w:ascii="宋体" w:hAnsi="宋体"/>
                <w:bCs/>
                <w:sz w:val="24"/>
              </w:rPr>
            </w:pPr>
          </w:p>
          <w:p>
            <w:pPr>
              <w:spacing w:line="276" w:lineRule="auto"/>
              <w:rPr>
                <w:rFonts w:ascii="宋体" w:hAnsi="宋体"/>
                <w:bCs/>
                <w:sz w:val="24"/>
              </w:rPr>
            </w:pPr>
          </w:p>
          <w:p>
            <w:pPr>
              <w:spacing w:line="276" w:lineRule="auto"/>
              <w:jc w:val="center"/>
              <w:rPr>
                <w:rFonts w:ascii="宋体" w:hAnsi="宋体"/>
                <w:bCs/>
                <w:sz w:val="24"/>
              </w:rPr>
            </w:pPr>
            <w:r>
              <w:rPr>
                <w:rFonts w:hint="eastAsia" w:ascii="宋体" w:hAnsi="宋体"/>
                <w:bCs/>
                <w:sz w:val="24"/>
              </w:rPr>
              <w:t>服务</w:t>
            </w:r>
          </w:p>
          <w:p>
            <w:pPr>
              <w:spacing w:line="276" w:lineRule="auto"/>
              <w:jc w:val="center"/>
              <w:rPr>
                <w:rFonts w:ascii="宋体" w:hAnsi="宋体"/>
                <w:bCs/>
                <w:sz w:val="24"/>
              </w:rPr>
            </w:pPr>
            <w:r>
              <w:rPr>
                <w:rFonts w:hint="eastAsia" w:ascii="宋体" w:hAnsi="宋体"/>
                <w:bCs/>
                <w:sz w:val="24"/>
              </w:rPr>
              <w:t>水平</w:t>
            </w:r>
          </w:p>
          <w:p>
            <w:pPr>
              <w:spacing w:line="276" w:lineRule="auto"/>
              <w:jc w:val="center"/>
              <w:rPr>
                <w:rFonts w:ascii="宋体" w:hAnsi="宋体"/>
                <w:bCs/>
                <w:sz w:val="24"/>
              </w:rPr>
            </w:pPr>
            <w:r>
              <w:rPr>
                <w:rFonts w:hint="eastAsia" w:ascii="宋体" w:hAnsi="宋体"/>
                <w:bCs/>
                <w:sz w:val="24"/>
              </w:rPr>
              <w:t>（55分）</w:t>
            </w:r>
          </w:p>
        </w:tc>
        <w:tc>
          <w:tcPr>
            <w:tcW w:w="1752" w:type="dxa"/>
            <w:vAlign w:val="center"/>
          </w:tcPr>
          <w:p>
            <w:pPr>
              <w:spacing w:line="276" w:lineRule="auto"/>
              <w:jc w:val="center"/>
              <w:rPr>
                <w:rFonts w:ascii="宋体" w:hAnsi="宋体"/>
                <w:bCs/>
                <w:sz w:val="24"/>
              </w:rPr>
            </w:pPr>
            <w:r>
              <w:rPr>
                <w:rFonts w:hint="eastAsia" w:ascii="宋体" w:hAnsi="宋体"/>
                <w:bCs/>
                <w:sz w:val="24"/>
              </w:rPr>
              <w:t>日常核算服务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报名银行办理日常资金支付结算、银行票据结算、对账、分账等（不局限于列举项）账户核算服务措施规范、及时、便捷、安全、准确高效的得</w:t>
            </w:r>
            <w:r>
              <w:rPr>
                <w:rFonts w:ascii="宋体" w:hAnsi="宋体"/>
                <w:bCs/>
                <w:sz w:val="24"/>
              </w:rPr>
              <w:t>7分；服务措施基本可行、服务较规范、较及时、较便捷、较安全的得5分；服务措施较一般，服务不够规范、不够及时、不够便捷、不够安全、效率较低的得2分</w:t>
            </w:r>
            <w:r>
              <w:rPr>
                <w:rFonts w:hint="eastAsia" w:ascii="宋体" w:hAnsi="宋体"/>
                <w:bCs/>
                <w:sz w:val="24"/>
              </w:rPr>
              <w:t>；未提供相关内容的不得分。根据银行提出的可行性服务承诺评分。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3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账户管理服务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报名银行对银行账户的日常管理、账户变更、银行系统调整等（不局限于列举项）服务规范、及时、便捷、安全、高效的得</w:t>
            </w:r>
            <w:r>
              <w:rPr>
                <w:rFonts w:ascii="宋体" w:hAnsi="宋体"/>
                <w:bCs/>
                <w:sz w:val="24"/>
              </w:rPr>
              <w:t>7分；服务措施基本可行、服务较规范、较及时、较便捷、较安全的得5分；服务措施较一般，服务不够规范、不够及时、不够便捷、不够安全、效率较低的得2分</w:t>
            </w:r>
            <w:r>
              <w:rPr>
                <w:rFonts w:hint="eastAsia" w:ascii="宋体" w:hAnsi="宋体"/>
                <w:bCs/>
                <w:sz w:val="24"/>
              </w:rPr>
              <w:t>；未提供相关内容的不得分。根据银行提出的可行性服务承诺评分。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应急处理能力</w:t>
            </w:r>
          </w:p>
        </w:tc>
        <w:tc>
          <w:tcPr>
            <w:tcW w:w="1125" w:type="dxa"/>
            <w:vAlign w:val="center"/>
          </w:tcPr>
          <w:p>
            <w:pPr>
              <w:spacing w:line="276" w:lineRule="auto"/>
              <w:jc w:val="center"/>
              <w:rPr>
                <w:rFonts w:ascii="宋体" w:hAnsi="宋体"/>
                <w:bCs/>
                <w:sz w:val="24"/>
              </w:rPr>
            </w:pPr>
            <w:r>
              <w:rPr>
                <w:rFonts w:hint="eastAsia" w:ascii="宋体" w:hAnsi="宋体"/>
                <w:bCs/>
                <w:sz w:val="24"/>
              </w:rPr>
              <w:t>5分</w:t>
            </w:r>
          </w:p>
        </w:tc>
        <w:tc>
          <w:tcPr>
            <w:tcW w:w="5503" w:type="dxa"/>
          </w:tcPr>
          <w:p>
            <w:pPr>
              <w:spacing w:line="276" w:lineRule="auto"/>
              <w:rPr>
                <w:rFonts w:ascii="宋体" w:hAnsi="宋体"/>
                <w:bCs/>
                <w:sz w:val="24"/>
              </w:rPr>
            </w:pPr>
            <w:r>
              <w:rPr>
                <w:rFonts w:hint="eastAsia" w:ascii="宋体" w:hAnsi="宋体"/>
                <w:bCs/>
                <w:sz w:val="24"/>
              </w:rPr>
              <w:t>特别紧急事项或业务有应急处理程序，处理程序切实可行、保障性强得</w:t>
            </w:r>
            <w:r>
              <w:rPr>
                <w:rFonts w:ascii="宋体" w:hAnsi="宋体"/>
                <w:bCs/>
                <w:sz w:val="24"/>
              </w:rPr>
              <w:t>5分；处理程序基本可行、保障性较强得3分；处理程序可行性较差、保障性较差得1分</w:t>
            </w:r>
            <w:r>
              <w:rPr>
                <w:rFonts w:hint="eastAsia" w:ascii="宋体" w:hAnsi="宋体"/>
                <w:bCs/>
                <w:sz w:val="24"/>
              </w:rPr>
              <w:t>；未提供相关内容的不得分。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信息系统建设服务</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报名银行有较完善的信息系统体系、数据安全保障、网银服务、公务卡服务、财政系统对接服务、银企直连以及适用于我局机关及局属事业单位特定业务的信息系统对接和解决方案，方案先进、便捷与我局各项业务联系密切可行性高，特殊业务可提供系统个性化服务得</w:t>
            </w:r>
            <w:r>
              <w:rPr>
                <w:rFonts w:ascii="宋体" w:hAnsi="宋体"/>
                <w:bCs/>
                <w:sz w:val="24"/>
              </w:rPr>
              <w:t>7分；方案较先进、较便捷与我局业务关联性较强得5分；方案一般、便捷性一般、与我局业务关联性一般的得3分；方案较差，与我局业务关联性较少的得1分；信息系统建设服务</w:t>
            </w:r>
            <w:r>
              <w:rPr>
                <w:rFonts w:hint="eastAsia" w:ascii="宋体" w:hAnsi="宋体"/>
                <w:bCs/>
                <w:sz w:val="24"/>
              </w:rPr>
              <w:t>无方案的不得分。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3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服务团队</w:t>
            </w:r>
          </w:p>
        </w:tc>
        <w:tc>
          <w:tcPr>
            <w:tcW w:w="1125" w:type="dxa"/>
            <w:vAlign w:val="center"/>
          </w:tcPr>
          <w:p>
            <w:pPr>
              <w:spacing w:line="276" w:lineRule="auto"/>
              <w:jc w:val="center"/>
              <w:rPr>
                <w:rFonts w:ascii="宋体" w:hAnsi="宋体"/>
                <w:bCs/>
                <w:sz w:val="24"/>
              </w:rPr>
            </w:pPr>
            <w:r>
              <w:rPr>
                <w:rFonts w:hint="eastAsia" w:ascii="宋体" w:hAnsi="宋体"/>
                <w:bCs/>
                <w:sz w:val="24"/>
              </w:rPr>
              <w:t>7分</w:t>
            </w:r>
          </w:p>
        </w:tc>
        <w:tc>
          <w:tcPr>
            <w:tcW w:w="5503" w:type="dxa"/>
          </w:tcPr>
          <w:p>
            <w:pPr>
              <w:spacing w:line="276" w:lineRule="auto"/>
              <w:rPr>
                <w:rFonts w:ascii="宋体" w:hAnsi="宋体"/>
                <w:bCs/>
                <w:sz w:val="24"/>
              </w:rPr>
            </w:pPr>
            <w:r>
              <w:rPr>
                <w:rFonts w:hint="eastAsia" w:ascii="宋体" w:hAnsi="宋体"/>
                <w:bCs/>
                <w:sz w:val="24"/>
              </w:rPr>
              <w:t>针对本项目服务团队配置，团队负责人相对固定，各单位均能配置专属服务人员，设置</w:t>
            </w:r>
            <w:r>
              <w:rPr>
                <w:rFonts w:ascii="宋体" w:hAnsi="宋体"/>
                <w:bCs/>
                <w:sz w:val="24"/>
              </w:rPr>
              <w:t>AB岗，能确保服务人员长期、固定，服务人员工作综合能力强、工作经验丰富、业务熟练度高、主动性强、响应迅速，且对团队人员予以明确并附有详细介绍的得7分；有专属服务人员、人员相对固定，工作综合能力较强、经验较丰富、业务较熟练，且对团队人员予以明确并附有详细介绍的得5分；有服务人员但不固定、综合能力一般、业务能力一般得3分；无服务人员的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2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保密措施</w:t>
            </w:r>
          </w:p>
        </w:tc>
        <w:tc>
          <w:tcPr>
            <w:tcW w:w="1125" w:type="dxa"/>
            <w:vAlign w:val="center"/>
          </w:tcPr>
          <w:p>
            <w:pPr>
              <w:spacing w:line="276" w:lineRule="auto"/>
              <w:jc w:val="center"/>
              <w:rPr>
                <w:rFonts w:ascii="宋体" w:hAnsi="宋体"/>
                <w:bCs/>
                <w:sz w:val="24"/>
              </w:rPr>
            </w:pPr>
            <w:r>
              <w:rPr>
                <w:rFonts w:hint="eastAsia" w:ascii="宋体" w:hAnsi="宋体"/>
                <w:bCs/>
                <w:sz w:val="24"/>
              </w:rPr>
              <w:t>3分</w:t>
            </w:r>
          </w:p>
        </w:tc>
        <w:tc>
          <w:tcPr>
            <w:tcW w:w="5503" w:type="dxa"/>
          </w:tcPr>
          <w:p>
            <w:pPr>
              <w:spacing w:line="276" w:lineRule="auto"/>
              <w:rPr>
                <w:rFonts w:ascii="宋体" w:hAnsi="宋体"/>
                <w:bCs/>
                <w:sz w:val="24"/>
              </w:rPr>
            </w:pPr>
            <w:r>
              <w:rPr>
                <w:rFonts w:hint="eastAsia" w:ascii="宋体" w:hAnsi="宋体"/>
                <w:bCs/>
                <w:sz w:val="24"/>
              </w:rPr>
              <w:t>对单位信息、账户信息、收支情况、系统数据信息等保密措施，措施合理有效、可行性强、针对性强得</w:t>
            </w:r>
            <w:r>
              <w:rPr>
                <w:rFonts w:ascii="宋体" w:hAnsi="宋体"/>
                <w:bCs/>
                <w:sz w:val="24"/>
              </w:rPr>
              <w:t>3分；措施基本合理、可行性较强、针对性较强得2分；措施合理性一般、可行性较差、针对性弱得1分</w:t>
            </w:r>
            <w:r>
              <w:rPr>
                <w:rFonts w:hint="eastAsia" w:ascii="宋体" w:hAnsi="宋体"/>
                <w:bCs/>
                <w:sz w:val="24"/>
              </w:rPr>
              <w:t>；未提供相关内容的不得分。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35"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单位金融服务</w:t>
            </w:r>
          </w:p>
        </w:tc>
        <w:tc>
          <w:tcPr>
            <w:tcW w:w="1125" w:type="dxa"/>
            <w:vAlign w:val="center"/>
          </w:tcPr>
          <w:p>
            <w:pPr>
              <w:spacing w:line="276" w:lineRule="auto"/>
              <w:jc w:val="center"/>
              <w:rPr>
                <w:rFonts w:ascii="宋体" w:hAnsi="宋体"/>
                <w:bCs/>
                <w:sz w:val="24"/>
              </w:rPr>
            </w:pPr>
            <w:r>
              <w:rPr>
                <w:rFonts w:hint="eastAsia" w:ascii="宋体" w:hAnsi="宋体"/>
                <w:bCs/>
                <w:sz w:val="24"/>
              </w:rPr>
              <w:t>10分</w:t>
            </w:r>
          </w:p>
        </w:tc>
        <w:tc>
          <w:tcPr>
            <w:tcW w:w="5503" w:type="dxa"/>
          </w:tcPr>
          <w:p>
            <w:pPr>
              <w:spacing w:line="276" w:lineRule="auto"/>
              <w:rPr>
                <w:rFonts w:ascii="宋体" w:hAnsi="宋体"/>
                <w:bCs/>
                <w:sz w:val="24"/>
              </w:rPr>
            </w:pPr>
            <w:r>
              <w:rPr>
                <w:rFonts w:hint="eastAsia" w:ascii="宋体" w:hAnsi="宋体"/>
                <w:bCs/>
                <w:sz w:val="24"/>
              </w:rPr>
              <w:t>报名银行免费为我局办理结算所发生的票据服务费（工本费）、电汇服务费、短信服务费、网银服务费（</w:t>
            </w:r>
            <w:r>
              <w:rPr>
                <w:rFonts w:ascii="宋体" w:hAnsi="宋体"/>
                <w:bCs/>
                <w:sz w:val="24"/>
              </w:rPr>
              <w:t>U盾工本费、综合免费、交易手续费）、现金管理账户服务费、各类资信证明服务费。提供的每项免费服务得1.5分等，总分不超过10分；不提供免费服务的不得分。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0" w:hRule="atLeast"/>
          <w:jc w:val="center"/>
        </w:trPr>
        <w:tc>
          <w:tcPr>
            <w:tcW w:w="1109" w:type="dxa"/>
            <w:vMerge w:val="continue"/>
          </w:tcPr>
          <w:p>
            <w:pPr>
              <w:spacing w:line="276" w:lineRule="auto"/>
              <w:jc w:val="center"/>
              <w:rPr>
                <w:rFonts w:ascii="宋体" w:hAnsi="宋体"/>
                <w:bCs/>
                <w:sz w:val="24"/>
              </w:rPr>
            </w:pPr>
          </w:p>
        </w:tc>
        <w:tc>
          <w:tcPr>
            <w:tcW w:w="1752" w:type="dxa"/>
            <w:vAlign w:val="center"/>
          </w:tcPr>
          <w:p>
            <w:pPr>
              <w:spacing w:line="276" w:lineRule="auto"/>
              <w:jc w:val="center"/>
              <w:rPr>
                <w:rFonts w:ascii="宋体" w:hAnsi="宋体"/>
                <w:bCs/>
                <w:sz w:val="24"/>
              </w:rPr>
            </w:pPr>
            <w:r>
              <w:rPr>
                <w:rFonts w:hint="eastAsia" w:ascii="宋体" w:hAnsi="宋体"/>
                <w:bCs/>
                <w:sz w:val="24"/>
              </w:rPr>
              <w:t>其他服务承诺</w:t>
            </w:r>
          </w:p>
        </w:tc>
        <w:tc>
          <w:tcPr>
            <w:tcW w:w="1125" w:type="dxa"/>
            <w:vAlign w:val="center"/>
          </w:tcPr>
          <w:p>
            <w:pPr>
              <w:spacing w:line="276" w:lineRule="auto"/>
              <w:jc w:val="center"/>
              <w:rPr>
                <w:rFonts w:ascii="宋体" w:hAnsi="宋体"/>
                <w:bCs/>
                <w:sz w:val="24"/>
              </w:rPr>
            </w:pPr>
            <w:r>
              <w:rPr>
                <w:rFonts w:hint="eastAsia" w:ascii="宋体" w:hAnsi="宋体"/>
                <w:bCs/>
                <w:sz w:val="24"/>
              </w:rPr>
              <w:t>9分</w:t>
            </w:r>
          </w:p>
        </w:tc>
        <w:tc>
          <w:tcPr>
            <w:tcW w:w="5503" w:type="dxa"/>
          </w:tcPr>
          <w:p>
            <w:pPr>
              <w:spacing w:line="276" w:lineRule="auto"/>
              <w:rPr>
                <w:rFonts w:ascii="宋体" w:hAnsi="宋体"/>
                <w:bCs/>
                <w:sz w:val="24"/>
              </w:rPr>
            </w:pPr>
            <w:r>
              <w:rPr>
                <w:rFonts w:hint="eastAsia" w:ascii="宋体" w:hAnsi="宋体"/>
                <w:bCs/>
                <w:sz w:val="24"/>
              </w:rPr>
              <w:t>其他服务承诺多、快捷、可行性强，对局机关及局属各单位、全局职工有很强针对性得</w:t>
            </w:r>
            <w:r>
              <w:rPr>
                <w:rFonts w:ascii="宋体" w:hAnsi="宋体"/>
                <w:bCs/>
                <w:sz w:val="24"/>
              </w:rPr>
              <w:t>9分；服务承诺较多、较快捷、可行性较强，对局机关及局属单位、全局职工有较强的针对性得7分；服务承诺一般、相对快捷、可行性一般，对局机关及局属单位、全局职工有一定的针对性得5分；服务承诺较少、不够快捷、可行性较弱，对局机关及局属单位、全局职工缺乏针对性得2分；无服务承诺的不得分。</w:t>
            </w:r>
          </w:p>
          <w:p>
            <w:pPr>
              <w:spacing w:line="276" w:lineRule="auto"/>
              <w:rPr>
                <w:rFonts w:ascii="宋体" w:hAnsi="宋体"/>
                <w:bCs/>
                <w:sz w:val="24"/>
              </w:rPr>
            </w:pPr>
            <w:r>
              <w:rPr>
                <w:rFonts w:hint="eastAsia" w:ascii="宋体" w:hAnsi="宋体"/>
                <w:bCs/>
                <w:sz w:val="24"/>
              </w:rPr>
              <w:t>注：其他服务承诺，银行应当提供详细的服务方案。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jc w:val="center"/>
        </w:trPr>
        <w:tc>
          <w:tcPr>
            <w:tcW w:w="1109" w:type="dxa"/>
            <w:vAlign w:val="center"/>
          </w:tcPr>
          <w:p>
            <w:pPr>
              <w:spacing w:line="276" w:lineRule="auto"/>
              <w:jc w:val="center"/>
              <w:rPr>
                <w:rFonts w:ascii="宋体" w:hAnsi="宋体"/>
                <w:bCs/>
                <w:sz w:val="24"/>
              </w:rPr>
            </w:pPr>
            <w:r>
              <w:rPr>
                <w:rFonts w:hint="eastAsia" w:ascii="宋体" w:hAnsi="宋体"/>
                <w:bCs/>
                <w:sz w:val="24"/>
              </w:rPr>
              <w:t>合计</w:t>
            </w:r>
          </w:p>
        </w:tc>
        <w:tc>
          <w:tcPr>
            <w:tcW w:w="1752" w:type="dxa"/>
            <w:vAlign w:val="center"/>
          </w:tcPr>
          <w:p>
            <w:pPr>
              <w:spacing w:line="276" w:lineRule="auto"/>
              <w:jc w:val="center"/>
              <w:rPr>
                <w:rFonts w:ascii="宋体" w:hAnsi="宋体"/>
                <w:bCs/>
                <w:sz w:val="24"/>
              </w:rPr>
            </w:pPr>
          </w:p>
        </w:tc>
        <w:tc>
          <w:tcPr>
            <w:tcW w:w="1125" w:type="dxa"/>
            <w:vAlign w:val="center"/>
          </w:tcPr>
          <w:p>
            <w:pPr>
              <w:spacing w:line="276" w:lineRule="auto"/>
              <w:jc w:val="center"/>
              <w:rPr>
                <w:rFonts w:ascii="宋体" w:hAnsi="宋体"/>
                <w:bCs/>
                <w:sz w:val="24"/>
              </w:rPr>
            </w:pPr>
            <w:r>
              <w:rPr>
                <w:rFonts w:hint="eastAsia" w:ascii="宋体" w:hAnsi="宋体"/>
                <w:bCs/>
                <w:sz w:val="24"/>
              </w:rPr>
              <w:t>100分</w:t>
            </w:r>
          </w:p>
        </w:tc>
        <w:tc>
          <w:tcPr>
            <w:tcW w:w="5503" w:type="dxa"/>
            <w:vAlign w:val="center"/>
          </w:tcPr>
          <w:p>
            <w:pPr>
              <w:spacing w:line="276" w:lineRule="auto"/>
              <w:jc w:val="center"/>
              <w:rPr>
                <w:rFonts w:ascii="宋体" w:hAnsi="宋体"/>
                <w:bCs/>
                <w:sz w:val="24"/>
              </w:rPr>
            </w:pPr>
          </w:p>
        </w:tc>
      </w:tr>
    </w:tbl>
    <w:p>
      <w:pPr>
        <w:ind w:firstLine="480"/>
        <w:rPr>
          <w:rFonts w:ascii="宋体" w:hAnsi="宋体"/>
          <w:bCs/>
          <w:sz w:val="24"/>
        </w:rPr>
      </w:pPr>
      <w:r>
        <w:rPr>
          <w:rFonts w:hint="eastAsia" w:ascii="宋体" w:hAnsi="宋体"/>
          <w:bCs/>
          <w:sz w:val="24"/>
        </w:rPr>
        <w:t>备注：表格中“我局”所指“江苏省机关事务管理局”。</w:t>
      </w:r>
    </w:p>
    <w:p>
      <w:pPr>
        <w:ind w:firstLine="220" w:firstLineChars="50"/>
        <w:jc w:val="center"/>
        <w:rPr>
          <w:rFonts w:ascii="黑体" w:eastAsia="黑体"/>
          <w:bCs/>
          <w:sz w:val="44"/>
        </w:rPr>
      </w:pPr>
      <w:r>
        <w:rPr>
          <w:rFonts w:ascii="黑体" w:eastAsia="黑体"/>
          <w:bCs/>
          <w:sz w:val="44"/>
        </w:rPr>
        <w:br w:type="page"/>
      </w:r>
      <w:r>
        <w:rPr>
          <w:rFonts w:hint="eastAsia" w:ascii="黑体" w:eastAsia="黑体"/>
          <w:bCs/>
          <w:sz w:val="44"/>
        </w:rPr>
        <w:t xml:space="preserve">第六章  </w:t>
      </w:r>
      <w:bookmarkEnd w:id="123"/>
      <w:bookmarkEnd w:id="124"/>
      <w:bookmarkEnd w:id="125"/>
      <w:r>
        <w:rPr>
          <w:rFonts w:hint="eastAsia" w:ascii="黑体" w:eastAsia="黑体"/>
          <w:bCs/>
          <w:sz w:val="44"/>
        </w:rPr>
        <w:t>响应文件格式</w:t>
      </w:r>
    </w:p>
    <w:p>
      <w:pPr>
        <w:jc w:val="center"/>
        <w:rPr>
          <w:rFonts w:ascii="宋体" w:hAnsi="宋体"/>
          <w:b/>
          <w:sz w:val="72"/>
        </w:rPr>
      </w:pPr>
      <w:bookmarkStart w:id="126" w:name="_Hlt26955039"/>
      <w:bookmarkEnd w:id="126"/>
      <w:bookmarkStart w:id="127" w:name="_Hlt26671244"/>
      <w:bookmarkEnd w:id="127"/>
      <w:bookmarkStart w:id="128" w:name="_Toc26554094"/>
      <w:bookmarkStart w:id="129" w:name="_Toc120614282"/>
      <w:bookmarkStart w:id="130" w:name="_Toc49090576"/>
    </w:p>
    <w:p>
      <w:pPr>
        <w:jc w:val="center"/>
        <w:rPr>
          <w:rFonts w:ascii="宋体" w:hAnsi="宋体"/>
          <w:b/>
          <w:sz w:val="72"/>
        </w:rPr>
      </w:pPr>
      <w:r>
        <w:rPr>
          <w:rFonts w:hint="eastAsia" w:ascii="宋体" w:hAnsi="宋体"/>
          <w:b/>
          <w:sz w:val="72"/>
        </w:rPr>
        <w:t>响  应  文  件</w:t>
      </w:r>
    </w:p>
    <w:p>
      <w:pPr>
        <w:jc w:val="center"/>
        <w:rPr>
          <w:rFonts w:ascii="宋体" w:hAnsi="宋体"/>
          <w:b/>
          <w:sz w:val="72"/>
        </w:rPr>
      </w:pPr>
    </w:p>
    <w:p>
      <w:pPr>
        <w:jc w:val="center"/>
        <w:rPr>
          <w:rFonts w:ascii="宋体" w:hAnsi="宋体"/>
          <w:b/>
          <w:sz w:val="72"/>
        </w:rPr>
      </w:pPr>
    </w:p>
    <w:p>
      <w:pPr>
        <w:jc w:val="center"/>
        <w:rPr>
          <w:rFonts w:ascii="宋体" w:hAnsi="宋体"/>
          <w:b/>
          <w:sz w:val="36"/>
        </w:rPr>
      </w:pPr>
    </w:p>
    <w:p>
      <w:pPr>
        <w:jc w:val="center"/>
        <w:rPr>
          <w:rFonts w:ascii="宋体" w:hAnsi="宋体"/>
          <w:b/>
          <w:sz w:val="36"/>
        </w:rPr>
      </w:pPr>
    </w:p>
    <w:p>
      <w:pPr>
        <w:jc w:val="center"/>
        <w:rPr>
          <w:rFonts w:ascii="宋体" w:hAnsi="宋体"/>
          <w:b/>
          <w:sz w:val="36"/>
        </w:rPr>
      </w:pPr>
    </w:p>
    <w:p>
      <w:pPr>
        <w:ind w:firstLine="1084" w:firstLineChars="300"/>
        <w:rPr>
          <w:rFonts w:ascii="宋体" w:hAnsi="宋体"/>
          <w:b/>
          <w:sz w:val="36"/>
        </w:rPr>
      </w:pPr>
      <w:r>
        <w:rPr>
          <w:rFonts w:hint="eastAsia" w:ascii="宋体" w:hAnsi="宋体"/>
          <w:b/>
          <w:sz w:val="36"/>
        </w:rPr>
        <w:t>项 目 名 称：</w:t>
      </w:r>
      <w:r>
        <w:rPr>
          <w:rFonts w:hint="eastAsia" w:ascii="宋体" w:hAnsi="宋体"/>
          <w:b/>
          <w:sz w:val="36"/>
          <w:u w:val="single"/>
        </w:rPr>
        <w:t xml:space="preserve">               </w:t>
      </w:r>
    </w:p>
    <w:p>
      <w:pPr>
        <w:rPr>
          <w:rFonts w:ascii="宋体" w:hAnsi="宋体"/>
          <w:b/>
          <w:sz w:val="36"/>
          <w:u w:val="single"/>
        </w:rPr>
      </w:pPr>
      <w:r>
        <w:rPr>
          <w:rFonts w:hint="eastAsia" w:ascii="宋体" w:hAnsi="宋体"/>
          <w:b/>
          <w:sz w:val="36"/>
        </w:rPr>
        <w:t xml:space="preserve">      银 行 名 称：</w:t>
      </w:r>
      <w:r>
        <w:rPr>
          <w:rFonts w:hint="eastAsia" w:ascii="宋体" w:hAnsi="宋体"/>
          <w:b/>
          <w:sz w:val="36"/>
          <w:u w:val="single"/>
        </w:rPr>
        <w:t xml:space="preserve">               </w:t>
      </w:r>
    </w:p>
    <w:p>
      <w:pPr>
        <w:rPr>
          <w:rFonts w:ascii="宋体" w:hAnsi="宋体"/>
          <w:b/>
          <w:sz w:val="36"/>
        </w:rPr>
      </w:pPr>
      <w:r>
        <w:rPr>
          <w:rFonts w:hint="eastAsia" w:ascii="宋体" w:hAnsi="宋体"/>
          <w:b/>
          <w:sz w:val="36"/>
        </w:rPr>
        <w:t xml:space="preserve">      日       期：</w:t>
      </w:r>
      <w:r>
        <w:rPr>
          <w:rFonts w:hint="eastAsia" w:ascii="宋体" w:hAnsi="宋体"/>
          <w:b/>
          <w:sz w:val="36"/>
          <w:u w:val="single"/>
        </w:rPr>
        <w:t xml:space="preserve">               </w:t>
      </w:r>
    </w:p>
    <w:p>
      <w:pPr>
        <w:spacing w:line="440" w:lineRule="exact"/>
        <w:jc w:val="center"/>
        <w:rPr>
          <w:rFonts w:ascii="宋体" w:hAnsi="宋体"/>
          <w:b/>
          <w:bCs/>
          <w:sz w:val="32"/>
          <w:szCs w:val="32"/>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rPr>
          <w:rFonts w:ascii="宋体" w:hAnsi="宋体"/>
          <w:sz w:val="24"/>
        </w:rPr>
      </w:pPr>
      <w:r>
        <w:rPr>
          <w:rFonts w:ascii="宋体" w:hAnsi="宋体"/>
          <w:sz w:val="24"/>
        </w:rPr>
        <w:br w:type="page"/>
      </w:r>
    </w:p>
    <w:p>
      <w:pPr>
        <w:spacing w:line="440" w:lineRule="exact"/>
        <w:jc w:val="center"/>
        <w:rPr>
          <w:rFonts w:ascii="宋体" w:hAnsi="宋体"/>
          <w:b/>
          <w:bCs/>
          <w:sz w:val="32"/>
          <w:szCs w:val="32"/>
        </w:rPr>
      </w:pPr>
      <w:r>
        <w:rPr>
          <w:rFonts w:hint="eastAsia" w:ascii="宋体" w:hAnsi="宋体"/>
          <w:b/>
          <w:bCs/>
          <w:sz w:val="32"/>
          <w:szCs w:val="32"/>
        </w:rPr>
        <w:t>响应文件主要文件目录</w:t>
      </w:r>
    </w:p>
    <w:p>
      <w:pPr>
        <w:spacing w:line="440" w:lineRule="exact"/>
        <w:jc w:val="center"/>
        <w:rPr>
          <w:rFonts w:ascii="宋体" w:hAnsi="宋体"/>
          <w:b/>
          <w:bCs/>
          <w:sz w:val="32"/>
          <w:szCs w:val="32"/>
        </w:rPr>
      </w:pPr>
    </w:p>
    <w:p>
      <w:pPr>
        <w:ind w:firstLine="480" w:firstLineChars="200"/>
        <w:rPr>
          <w:rFonts w:ascii="宋体" w:hAnsi="宋体"/>
          <w:sz w:val="24"/>
        </w:rPr>
      </w:pPr>
      <w:r>
        <w:rPr>
          <w:rFonts w:hint="eastAsia" w:ascii="宋体" w:hAnsi="宋体"/>
          <w:sz w:val="24"/>
        </w:rPr>
        <w:t>一、资格性、符合性检查响应对照表</w:t>
      </w:r>
    </w:p>
    <w:p>
      <w:pPr>
        <w:ind w:firstLine="482" w:firstLineChars="200"/>
        <w:rPr>
          <w:rFonts w:ascii="宋体" w:hAnsi="宋体"/>
          <w:bCs/>
          <w:sz w:val="24"/>
        </w:rPr>
      </w:pPr>
      <w:r>
        <w:rPr>
          <w:rFonts w:hint="eastAsia" w:ascii="宋体" w:hAnsi="宋体"/>
          <w:b/>
          <w:bCs/>
          <w:sz w:val="24"/>
        </w:rPr>
        <w:t>二</w:t>
      </w:r>
      <w:r>
        <w:rPr>
          <w:rFonts w:hint="eastAsia" w:ascii="宋体" w:hAnsi="宋体"/>
          <w:sz w:val="24"/>
        </w:rPr>
        <w:t>、资格性、符合性</w:t>
      </w:r>
      <w:r>
        <w:rPr>
          <w:rFonts w:hint="eastAsia" w:ascii="宋体" w:hAnsi="宋体"/>
          <w:bCs/>
          <w:sz w:val="24"/>
        </w:rPr>
        <w:t>证明文件及要求</w:t>
      </w:r>
    </w:p>
    <w:p>
      <w:pPr>
        <w:ind w:firstLine="480" w:firstLineChars="200"/>
        <w:rPr>
          <w:rFonts w:ascii="宋体" w:hAnsi="宋体"/>
          <w:sz w:val="24"/>
        </w:rPr>
      </w:pPr>
      <w:r>
        <w:rPr>
          <w:rFonts w:hint="eastAsia" w:ascii="宋体" w:hAnsi="宋体"/>
          <w:sz w:val="24"/>
        </w:rPr>
        <w:t>三、本项目团队情况表</w:t>
      </w:r>
    </w:p>
    <w:p>
      <w:pPr>
        <w:ind w:firstLine="480" w:firstLineChars="200"/>
        <w:rPr>
          <w:rFonts w:ascii="宋体" w:hAnsi="宋体"/>
          <w:sz w:val="24"/>
        </w:rPr>
      </w:pPr>
      <w:r>
        <w:rPr>
          <w:rFonts w:hint="eastAsia" w:ascii="宋体" w:hAnsi="宋体"/>
          <w:sz w:val="24"/>
        </w:rPr>
        <w:t>四、对本项目拟定的服务承诺</w:t>
      </w:r>
    </w:p>
    <w:p>
      <w:pPr>
        <w:ind w:firstLine="480" w:firstLineChars="200"/>
        <w:rPr>
          <w:rFonts w:ascii="宋体" w:hAnsi="宋体"/>
          <w:sz w:val="24"/>
        </w:rPr>
      </w:pPr>
      <w:r>
        <w:rPr>
          <w:rFonts w:hint="eastAsia" w:ascii="宋体" w:hAnsi="宋体"/>
          <w:sz w:val="24"/>
        </w:rPr>
        <w:t>五、响应方案</w:t>
      </w:r>
    </w:p>
    <w:p>
      <w:pPr>
        <w:ind w:firstLine="480" w:firstLineChars="200"/>
        <w:rPr>
          <w:rFonts w:ascii="宋体" w:hAnsi="宋体"/>
          <w:sz w:val="24"/>
        </w:rPr>
      </w:pPr>
      <w:r>
        <w:rPr>
          <w:rFonts w:hint="eastAsia" w:ascii="宋体" w:hAnsi="宋体"/>
          <w:sz w:val="24"/>
        </w:rPr>
        <w:t>六、响应利率报价一览表</w:t>
      </w:r>
    </w:p>
    <w:p>
      <w:pPr>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spacing w:line="440" w:lineRule="exact"/>
        <w:ind w:firstLine="480" w:firstLineChars="200"/>
        <w:rPr>
          <w:rFonts w:ascii="宋体" w:hAnsi="宋体"/>
          <w:sz w:val="24"/>
        </w:rPr>
      </w:pPr>
    </w:p>
    <w:p>
      <w:pPr>
        <w:pStyle w:val="96"/>
        <w:numPr>
          <w:ilvl w:val="0"/>
          <w:numId w:val="7"/>
        </w:numPr>
        <w:jc w:val="center"/>
        <w:rPr>
          <w:rFonts w:ascii="宋体" w:hAnsi="宋体"/>
          <w:b/>
          <w:sz w:val="32"/>
          <w:szCs w:val="32"/>
          <w:lang w:eastAsia="zh-CN"/>
        </w:rPr>
      </w:pPr>
      <w:r>
        <w:rPr>
          <w:rFonts w:ascii="宋体" w:hAnsi="宋体"/>
          <w:lang w:eastAsia="zh-CN"/>
        </w:rPr>
        <w:br w:type="page"/>
      </w:r>
      <w:r>
        <w:rPr>
          <w:rFonts w:hint="eastAsia" w:ascii="宋体" w:hAnsi="宋体"/>
          <w:b/>
          <w:sz w:val="32"/>
          <w:szCs w:val="32"/>
          <w:lang w:eastAsia="zh-CN"/>
        </w:rPr>
        <w:t>资格性、符合性检查响应对照表</w:t>
      </w:r>
    </w:p>
    <w:tbl>
      <w:tblPr>
        <w:tblStyle w:val="49"/>
        <w:tblW w:w="95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5447"/>
        <w:gridCol w:w="168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646" w:type="dxa"/>
            <w:vAlign w:val="center"/>
          </w:tcPr>
          <w:p>
            <w:pPr>
              <w:snapToGrid w:val="0"/>
              <w:spacing w:line="240" w:lineRule="atLeast"/>
              <w:jc w:val="center"/>
              <w:rPr>
                <w:rFonts w:ascii="幼圆" w:eastAsia="幼圆"/>
                <w:b/>
              </w:rPr>
            </w:pPr>
            <w:r>
              <w:rPr>
                <w:rFonts w:hint="eastAsia" w:ascii="幼圆" w:eastAsia="幼圆"/>
                <w:b/>
              </w:rPr>
              <w:t>序号</w:t>
            </w:r>
          </w:p>
        </w:tc>
        <w:tc>
          <w:tcPr>
            <w:tcW w:w="5447" w:type="dxa"/>
            <w:vAlign w:val="center"/>
          </w:tcPr>
          <w:p>
            <w:pPr>
              <w:snapToGrid w:val="0"/>
              <w:spacing w:line="240" w:lineRule="atLeast"/>
              <w:jc w:val="center"/>
              <w:rPr>
                <w:rFonts w:ascii="幼圆" w:eastAsia="幼圆"/>
                <w:b/>
              </w:rPr>
            </w:pPr>
            <w:r>
              <w:rPr>
                <w:rFonts w:hint="eastAsia" w:ascii="幼圆" w:eastAsia="幼圆"/>
                <w:b/>
              </w:rPr>
              <w:t>资格性检查响应内容</w:t>
            </w:r>
          </w:p>
        </w:tc>
        <w:tc>
          <w:tcPr>
            <w:tcW w:w="1680" w:type="dxa"/>
            <w:vAlign w:val="center"/>
          </w:tcPr>
          <w:p>
            <w:pPr>
              <w:snapToGrid w:val="0"/>
              <w:spacing w:line="240" w:lineRule="atLeast"/>
              <w:jc w:val="center"/>
              <w:rPr>
                <w:rFonts w:ascii="幼圆" w:eastAsia="幼圆"/>
                <w:b/>
              </w:rPr>
            </w:pPr>
            <w:r>
              <w:rPr>
                <w:rFonts w:hint="eastAsia" w:ascii="幼圆" w:eastAsia="幼圆"/>
                <w:b/>
              </w:rPr>
              <w:t>是否响应</w:t>
            </w:r>
          </w:p>
          <w:p>
            <w:pPr>
              <w:snapToGrid w:val="0"/>
              <w:spacing w:line="240" w:lineRule="atLeast"/>
              <w:jc w:val="center"/>
              <w:rPr>
                <w:rFonts w:ascii="幼圆" w:eastAsia="幼圆"/>
                <w:b/>
              </w:rPr>
            </w:pPr>
            <w:r>
              <w:rPr>
                <w:rFonts w:hint="eastAsia" w:ascii="幼圆" w:eastAsia="幼圆"/>
                <w:b/>
              </w:rPr>
              <w:t>（填是或者否）</w:t>
            </w:r>
          </w:p>
        </w:tc>
        <w:tc>
          <w:tcPr>
            <w:tcW w:w="1785" w:type="dxa"/>
            <w:vAlign w:val="center"/>
          </w:tcPr>
          <w:p>
            <w:pPr>
              <w:snapToGrid w:val="0"/>
              <w:spacing w:line="240" w:lineRule="atLeast"/>
              <w:jc w:val="center"/>
              <w:rPr>
                <w:rFonts w:ascii="幼圆" w:eastAsia="幼圆"/>
                <w:b/>
              </w:rPr>
            </w:pPr>
            <w:r>
              <w:rPr>
                <w:rFonts w:hint="eastAsia" w:ascii="幼圆" w:eastAsia="幼圆"/>
                <w:b/>
              </w:rPr>
              <w:t>响应文件中的页码位置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1</w:t>
            </w:r>
          </w:p>
        </w:tc>
        <w:tc>
          <w:tcPr>
            <w:tcW w:w="5447" w:type="dxa"/>
            <w:vAlign w:val="center"/>
          </w:tcPr>
          <w:p>
            <w:pPr>
              <w:snapToGrid w:val="0"/>
              <w:spacing w:line="590" w:lineRule="atLeast"/>
              <w:rPr>
                <w:rFonts w:ascii="宋体" w:hAnsi="宋体"/>
                <w:i/>
                <w:iCs/>
                <w:sz w:val="24"/>
                <w:szCs w:val="24"/>
                <w:u w:val="single"/>
              </w:rPr>
            </w:pPr>
            <w:r>
              <w:rPr>
                <w:rFonts w:hint="eastAsia" w:ascii="宋体" w:hAnsi="宋体"/>
                <w:b/>
                <w:i/>
                <w:sz w:val="24"/>
                <w:szCs w:val="24"/>
                <w:u w:val="single"/>
              </w:rPr>
              <w:t>单位授权书（格式见后，原件）</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2</w:t>
            </w:r>
          </w:p>
        </w:tc>
        <w:tc>
          <w:tcPr>
            <w:tcW w:w="5447" w:type="dxa"/>
            <w:vAlign w:val="center"/>
          </w:tcPr>
          <w:p>
            <w:pPr>
              <w:snapToGrid w:val="0"/>
              <w:spacing w:line="590" w:lineRule="atLeast"/>
              <w:rPr>
                <w:rFonts w:ascii="宋体" w:hAnsi="宋体"/>
                <w:b/>
                <w:i/>
                <w:sz w:val="24"/>
                <w:szCs w:val="24"/>
                <w:u w:val="single"/>
              </w:rPr>
            </w:pPr>
            <w:r>
              <w:rPr>
                <w:rFonts w:hint="eastAsia" w:ascii="宋体" w:hAnsi="宋体"/>
                <w:b/>
                <w:i/>
                <w:sz w:val="24"/>
                <w:szCs w:val="24"/>
                <w:u w:val="single"/>
              </w:rPr>
              <w:t>廉政承诺书（格式见后，原件）</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3</w:t>
            </w:r>
          </w:p>
        </w:tc>
        <w:tc>
          <w:tcPr>
            <w:tcW w:w="5447" w:type="dxa"/>
            <w:vAlign w:val="center"/>
          </w:tcPr>
          <w:p>
            <w:pPr>
              <w:snapToGrid w:val="0"/>
              <w:spacing w:line="590" w:lineRule="atLeast"/>
              <w:rPr>
                <w:rFonts w:ascii="宋体" w:hAnsi="宋体"/>
                <w:b/>
                <w:i/>
                <w:sz w:val="24"/>
                <w:szCs w:val="24"/>
                <w:u w:val="single"/>
              </w:rPr>
            </w:pPr>
            <w:r>
              <w:rPr>
                <w:rFonts w:hint="eastAsia" w:ascii="宋体" w:hAnsi="宋体"/>
                <w:b/>
                <w:i/>
                <w:sz w:val="24"/>
                <w:szCs w:val="24"/>
                <w:u w:val="single"/>
              </w:rPr>
              <w:t>其他实质性要求</w:t>
            </w: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646" w:type="dxa"/>
            <w:vAlign w:val="center"/>
          </w:tcPr>
          <w:p>
            <w:pPr>
              <w:rPr>
                <w:rFonts w:ascii="宋体" w:hAnsi="宋体"/>
                <w:i/>
                <w:u w:val="single"/>
              </w:rPr>
            </w:pPr>
            <w:r>
              <w:rPr>
                <w:rFonts w:hint="eastAsia" w:ascii="宋体" w:hAnsi="宋体"/>
                <w:i/>
                <w:u w:val="single"/>
              </w:rPr>
              <w:t>4</w:t>
            </w:r>
          </w:p>
        </w:tc>
        <w:tc>
          <w:tcPr>
            <w:tcW w:w="5447" w:type="dxa"/>
            <w:vAlign w:val="center"/>
          </w:tcPr>
          <w:p>
            <w:pPr>
              <w:snapToGrid w:val="0"/>
              <w:spacing w:line="590" w:lineRule="atLeast"/>
              <w:rPr>
                <w:rFonts w:ascii="宋体" w:hAnsi="宋体"/>
                <w:b/>
                <w:i/>
                <w:sz w:val="24"/>
                <w:szCs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bl>
    <w:p>
      <w:pPr>
        <w:spacing w:line="440" w:lineRule="exact"/>
        <w:ind w:firstLine="480" w:firstLineChars="200"/>
        <w:rPr>
          <w:rFonts w:ascii="宋体" w:hAnsi="宋体"/>
          <w:sz w:val="24"/>
        </w:rPr>
      </w:pPr>
    </w:p>
    <w:bookmarkEnd w:id="128"/>
    <w:bookmarkEnd w:id="129"/>
    <w:bookmarkEnd w:id="130"/>
    <w:p>
      <w:pPr>
        <w:snapToGrid w:val="0"/>
        <w:spacing w:before="50" w:after="50"/>
        <w:rPr>
          <w:rFonts w:ascii="黑体" w:eastAsia="黑体"/>
          <w:sz w:val="44"/>
        </w:rPr>
      </w:pPr>
      <w:r>
        <w:rPr>
          <w:rFonts w:hint="eastAsia" w:ascii="黑体" w:eastAsia="黑体"/>
          <w:sz w:val="44"/>
        </w:rPr>
        <w:t xml:space="preserve"> </w:t>
      </w:r>
    </w:p>
    <w:p>
      <w:pPr>
        <w:pStyle w:val="3"/>
        <w:rPr>
          <w:rFonts w:ascii="黑体" w:eastAsia="黑体"/>
          <w:b w:val="0"/>
          <w:bCs w:val="0"/>
          <w:sz w:val="32"/>
          <w:szCs w:val="32"/>
        </w:rPr>
      </w:pPr>
      <w:bookmarkStart w:id="131" w:name="_Toc120614284"/>
      <w:r>
        <w:rPr>
          <w:rFonts w:ascii="黑体" w:eastAsia="黑体"/>
          <w:b w:val="0"/>
          <w:bCs w:val="0"/>
          <w:sz w:val="32"/>
          <w:szCs w:val="32"/>
        </w:rPr>
        <w:br w:type="page"/>
      </w:r>
      <w:r>
        <w:rPr>
          <w:rFonts w:hint="eastAsia" w:ascii="宋体" w:hAnsi="宋体" w:eastAsia="宋体" w:cs="Times New Roman"/>
          <w:bCs w:val="0"/>
          <w:sz w:val="32"/>
          <w:szCs w:val="32"/>
        </w:rPr>
        <w:t>二、资格性、符合性证明文件及要求</w:t>
      </w:r>
    </w:p>
    <w:p>
      <w:pPr>
        <w:snapToGrid w:val="0"/>
        <w:spacing w:before="50" w:after="50" w:line="480" w:lineRule="auto"/>
        <w:ind w:firstLine="482" w:firstLineChars="200"/>
        <w:rPr>
          <w:rFonts w:ascii="宋体" w:hAnsi="宋体" w:eastAsia="仿宋_GB2312"/>
          <w:sz w:val="24"/>
          <w:szCs w:val="20"/>
        </w:rPr>
      </w:pPr>
      <w:r>
        <w:rPr>
          <w:rFonts w:hint="eastAsia" w:ascii="宋体" w:hAnsi="宋体"/>
          <w:b/>
          <w:bCs/>
          <w:sz w:val="24"/>
        </w:rPr>
        <w:t>1、资格证明文件目录</w:t>
      </w:r>
    </w:p>
    <w:p>
      <w:pPr>
        <w:spacing w:line="480" w:lineRule="auto"/>
        <w:ind w:firstLine="354" w:firstLineChars="147"/>
        <w:rPr>
          <w:rFonts w:ascii="宋体" w:hAnsi="宋体"/>
          <w:b/>
          <w:i/>
          <w:sz w:val="24"/>
          <w:szCs w:val="24"/>
          <w:u w:val="single"/>
        </w:rPr>
      </w:pPr>
      <w:r>
        <w:rPr>
          <w:rFonts w:hint="eastAsia" w:ascii="宋体" w:hAnsi="宋体"/>
          <w:b/>
          <w:i/>
          <w:sz w:val="24"/>
          <w:szCs w:val="24"/>
          <w:u w:val="single"/>
        </w:rPr>
        <w:t>文件1 单位授权书（格式见后，原件）</w:t>
      </w:r>
    </w:p>
    <w:p>
      <w:pPr>
        <w:numPr>
          <w:ilvl w:val="0"/>
          <w:numId w:val="8"/>
        </w:numPr>
        <w:snapToGrid w:val="0"/>
        <w:spacing w:before="50" w:after="50" w:line="480" w:lineRule="auto"/>
        <w:ind w:firstLine="482" w:firstLineChars="200"/>
        <w:rPr>
          <w:rFonts w:ascii="宋体" w:hAnsi="宋体"/>
          <w:b/>
          <w:bCs/>
          <w:sz w:val="24"/>
        </w:rPr>
      </w:pPr>
      <w:r>
        <w:rPr>
          <w:rFonts w:hint="eastAsia" w:ascii="宋体" w:hAnsi="宋体"/>
          <w:b/>
          <w:bCs/>
          <w:sz w:val="24"/>
        </w:rPr>
        <w:t>评选文件中的其他实质性要求</w:t>
      </w:r>
    </w:p>
    <w:p>
      <w:pPr>
        <w:snapToGrid w:val="0"/>
        <w:spacing w:before="50" w:after="50" w:line="480" w:lineRule="auto"/>
        <w:ind w:firstLine="482" w:firstLineChars="200"/>
        <w:rPr>
          <w:rFonts w:ascii="宋体" w:hAnsi="宋体"/>
          <w:b/>
          <w:i/>
          <w:sz w:val="24"/>
          <w:szCs w:val="24"/>
          <w:u w:val="single"/>
        </w:rPr>
      </w:pPr>
      <w:r>
        <w:rPr>
          <w:rFonts w:hint="eastAsia" w:ascii="宋体" w:hAnsi="宋体"/>
          <w:b/>
          <w:i/>
          <w:sz w:val="24"/>
          <w:szCs w:val="24"/>
          <w:u w:val="single"/>
        </w:rPr>
        <w:t>文件1 须提供廉政承诺书（格式见后，原件）</w:t>
      </w:r>
    </w:p>
    <w:p>
      <w:pPr>
        <w:snapToGrid w:val="0"/>
        <w:spacing w:before="50" w:after="50"/>
        <w:ind w:firstLine="353"/>
        <w:rPr>
          <w:rFonts w:ascii="黑体" w:eastAsia="黑体"/>
          <w:sz w:val="44"/>
        </w:rPr>
      </w:pPr>
    </w:p>
    <w:p>
      <w:pPr>
        <w:snapToGrid w:val="0"/>
        <w:spacing w:before="50" w:after="145" w:afterLines="50"/>
        <w:ind w:firstLine="482" w:firstLineChars="200"/>
        <w:jc w:val="left"/>
        <w:rPr>
          <w:rFonts w:ascii="宋体" w:hAnsi="宋体"/>
          <w:b/>
          <w:i/>
          <w:sz w:val="24"/>
          <w:szCs w:val="24"/>
          <w:u w:val="single"/>
        </w:rPr>
      </w:pPr>
      <w:r>
        <w:rPr>
          <w:rFonts w:hint="eastAsia" w:ascii="宋体" w:hAnsi="宋体"/>
          <w:b/>
          <w:i/>
          <w:sz w:val="24"/>
          <w:szCs w:val="24"/>
          <w:u w:val="single"/>
        </w:rPr>
        <w:t>以上资格性、符合性证明文件中要求加盖公章的必须加盖公章，否则视为无效响应。</w:t>
      </w: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spacing w:line="560" w:lineRule="exact"/>
        <w:jc w:val="center"/>
        <w:rPr>
          <w:rFonts w:ascii="黑体" w:hAnsi="黑体" w:eastAsia="黑体"/>
          <w:b/>
          <w:sz w:val="32"/>
          <w:szCs w:val="32"/>
        </w:rPr>
      </w:pPr>
    </w:p>
    <w:p>
      <w:pPr>
        <w:pStyle w:val="5"/>
        <w:jc w:val="center"/>
        <w:rPr>
          <w:rFonts w:ascii="黑体" w:hAnsi="宋体" w:eastAsia="黑体"/>
          <w:b w:val="0"/>
          <w:bCs w:val="0"/>
          <w:sz w:val="30"/>
          <w:szCs w:val="30"/>
        </w:rPr>
      </w:pPr>
      <w:r>
        <w:rPr>
          <w:rFonts w:hint="eastAsia" w:ascii="黑体" w:hAnsi="宋体" w:eastAsia="黑体"/>
          <w:b w:val="0"/>
          <w:bCs w:val="0"/>
          <w:sz w:val="30"/>
          <w:szCs w:val="30"/>
        </w:rPr>
        <w:t>单位授权书</w:t>
      </w:r>
    </w:p>
    <w:p>
      <w:pPr>
        <w:pStyle w:val="113"/>
        <w:ind w:firstLine="480"/>
        <w:rPr>
          <w:sz w:val="24"/>
          <w:szCs w:val="24"/>
        </w:rPr>
      </w:pPr>
      <w:r>
        <w:rPr>
          <w:rFonts w:hint="eastAsia"/>
          <w:sz w:val="24"/>
          <w:szCs w:val="24"/>
        </w:rPr>
        <w:t>本授权书声明：____________（报名银行单位名称）授权________________（被授权人的姓名）为我方就</w:t>
      </w:r>
      <w:r>
        <w:rPr>
          <w:rFonts w:hint="eastAsia"/>
          <w:sz w:val="24"/>
          <w:szCs w:val="24"/>
          <w:u w:val="single"/>
        </w:rPr>
        <w:t xml:space="preserve">                      </w:t>
      </w:r>
      <w:r>
        <w:rPr>
          <w:rFonts w:hint="eastAsia"/>
          <w:sz w:val="24"/>
          <w:szCs w:val="24"/>
        </w:rPr>
        <w:t>项目评选活动的合法代理人，以本单位名义全权处理一切与该项目评选有关的事务。</w:t>
      </w:r>
    </w:p>
    <w:p>
      <w:pPr>
        <w:pStyle w:val="113"/>
        <w:ind w:firstLine="480"/>
        <w:rPr>
          <w:sz w:val="24"/>
          <w:szCs w:val="24"/>
        </w:rPr>
      </w:pPr>
      <w:r>
        <w:rPr>
          <w:rFonts w:hint="eastAsia"/>
          <w:sz w:val="24"/>
          <w:szCs w:val="24"/>
        </w:rPr>
        <w:t>本授权书于______年____月____日起生效，特此声明。</w:t>
      </w:r>
    </w:p>
    <w:p>
      <w:pPr>
        <w:pStyle w:val="113"/>
        <w:ind w:firstLine="0" w:firstLineChars="0"/>
        <w:rPr>
          <w:b/>
          <w:sz w:val="24"/>
          <w:szCs w:val="24"/>
        </w:rPr>
      </w:pPr>
      <w:r>
        <w:rPr>
          <w:b/>
          <w:sz w:val="24"/>
          <w:szCs w:val="24"/>
        </w:rPr>
        <w:t xml:space="preserve">    </w:t>
      </w:r>
      <w:r>
        <w:rPr>
          <w:rFonts w:hint="eastAsia"/>
          <w:b/>
          <w:sz w:val="24"/>
          <w:szCs w:val="24"/>
        </w:rPr>
        <w:t>授权代表（被授权人）亲笔签名：</w:t>
      </w:r>
      <w:r>
        <w:rPr>
          <w:b/>
          <w:sz w:val="24"/>
          <w:szCs w:val="24"/>
        </w:rPr>
        <w:t>_______________________</w:t>
      </w:r>
    </w:p>
    <w:p>
      <w:pPr>
        <w:pStyle w:val="113"/>
        <w:ind w:firstLine="0" w:firstLineChars="0"/>
        <w:rPr>
          <w:sz w:val="24"/>
          <w:szCs w:val="24"/>
          <w:u w:val="single"/>
        </w:rPr>
      </w:pPr>
      <w:r>
        <w:rPr>
          <w:rFonts w:hint="eastAsia"/>
          <w:sz w:val="24"/>
          <w:szCs w:val="24"/>
        </w:rPr>
        <w:t xml:space="preserve">    身份证号码：</w:t>
      </w:r>
      <w:r>
        <w:rPr>
          <w:rFonts w:hint="eastAsia"/>
          <w:sz w:val="24"/>
          <w:szCs w:val="24"/>
          <w:u w:val="single"/>
        </w:rPr>
        <w:t xml:space="preserve">                              </w:t>
      </w:r>
    </w:p>
    <w:p>
      <w:pPr>
        <w:pStyle w:val="113"/>
        <w:ind w:firstLine="480" w:firstLineChars="0"/>
        <w:rPr>
          <w:sz w:val="24"/>
          <w:szCs w:val="24"/>
          <w:u w:val="single"/>
        </w:rPr>
      </w:pPr>
      <w:r>
        <w:rPr>
          <w:rFonts w:hint="eastAsia"/>
          <w:sz w:val="24"/>
          <w:szCs w:val="24"/>
        </w:rPr>
        <w:t>联系电话：（手机）</w:t>
      </w:r>
      <w:r>
        <w:rPr>
          <w:rFonts w:hint="eastAsia"/>
          <w:sz w:val="24"/>
          <w:szCs w:val="24"/>
          <w:u w:val="single"/>
        </w:rPr>
        <w:t xml:space="preserve">                          </w:t>
      </w:r>
    </w:p>
    <w:p>
      <w:pPr>
        <w:pStyle w:val="113"/>
        <w:ind w:firstLine="480" w:firstLineChars="0"/>
        <w:rPr>
          <w:sz w:val="24"/>
          <w:szCs w:val="24"/>
          <w:u w:val="single"/>
        </w:rPr>
      </w:pPr>
      <w:r>
        <w:rPr>
          <w:rFonts w:hint="eastAsia"/>
          <w:sz w:val="24"/>
          <w:szCs w:val="24"/>
        </w:rPr>
        <w:t>授权代表单位名称：_____________________________________</w:t>
      </w:r>
    </w:p>
    <w:p>
      <w:pPr>
        <w:pStyle w:val="113"/>
        <w:ind w:firstLine="0" w:firstLineChars="0"/>
        <w:rPr>
          <w:sz w:val="24"/>
          <w:szCs w:val="24"/>
        </w:rPr>
      </w:pPr>
      <w:r>
        <w:rPr>
          <w:rFonts w:hint="eastAsia"/>
          <w:sz w:val="24"/>
          <w:szCs w:val="24"/>
        </w:rPr>
        <w:t xml:space="preserve">    </w:t>
      </w:r>
      <w:r>
        <w:rPr>
          <w:rFonts w:hint="eastAsia"/>
          <w:b/>
          <w:sz w:val="24"/>
          <w:szCs w:val="24"/>
        </w:rPr>
        <w:t>授权单位（报名银行）（加盖公章） ：</w:t>
      </w:r>
      <w:r>
        <w:rPr>
          <w:rFonts w:hint="eastAsia"/>
          <w:b/>
          <w:sz w:val="24"/>
          <w:szCs w:val="24"/>
          <w:u w:val="single"/>
        </w:rPr>
        <w:t xml:space="preserve">                         </w:t>
      </w:r>
      <w:r>
        <w:rPr>
          <w:rFonts w:hint="eastAsia"/>
          <w:sz w:val="24"/>
          <w:szCs w:val="24"/>
          <w:u w:val="single"/>
        </w:rPr>
        <w:t xml:space="preserve">  </w:t>
      </w:r>
    </w:p>
    <w:p>
      <w:pPr>
        <w:pStyle w:val="113"/>
        <w:ind w:firstLine="480"/>
        <w:rPr>
          <w:sz w:val="24"/>
          <w:szCs w:val="24"/>
          <w:u w:val="single"/>
        </w:rPr>
      </w:pPr>
      <w:r>
        <w:rPr>
          <w:rFonts w:hint="eastAsia"/>
          <w:sz w:val="24"/>
          <w:szCs w:val="24"/>
        </w:rPr>
        <w:t>授权银行地址：</w:t>
      </w:r>
      <w:r>
        <w:rPr>
          <w:rFonts w:hint="eastAsia"/>
          <w:sz w:val="24"/>
          <w:szCs w:val="24"/>
          <w:u w:val="single"/>
        </w:rPr>
        <w:t xml:space="preserve">                                    </w:t>
      </w:r>
    </w:p>
    <w:p>
      <w:pPr>
        <w:pStyle w:val="113"/>
        <w:ind w:firstLine="600" w:firstLineChars="250"/>
        <w:rPr>
          <w:sz w:val="24"/>
          <w:szCs w:val="24"/>
          <w:u w:val="single"/>
        </w:rPr>
      </w:pPr>
      <w:r>
        <w:rPr>
          <w:rFonts w:hint="eastAsia"/>
          <w:sz w:val="24"/>
          <w:szCs w:val="24"/>
        </w:rPr>
        <w:t>日期：</w:t>
      </w:r>
      <w:bookmarkStart w:id="132" w:name="_格式3__银行出具的资信证明"/>
      <w:bookmarkEnd w:id="132"/>
      <w:bookmarkStart w:id="133" w:name="_Hlt26955070"/>
      <w:bookmarkEnd w:id="133"/>
      <w:bookmarkStart w:id="134" w:name="_Hlt26671380"/>
      <w:bookmarkEnd w:id="134"/>
      <w:r>
        <w:rPr>
          <w:rFonts w:hint="eastAsia"/>
          <w:sz w:val="24"/>
          <w:szCs w:val="24"/>
          <w:u w:val="single"/>
        </w:rPr>
        <w:t xml:space="preserve">                                         </w:t>
      </w:r>
    </w:p>
    <w:p>
      <w:pPr>
        <w:spacing w:line="560" w:lineRule="exact"/>
        <w:jc w:val="center"/>
        <w:rPr>
          <w:sz w:val="24"/>
          <w:szCs w:val="24"/>
          <w:u w:val="single"/>
        </w:rPr>
      </w:pPr>
    </w:p>
    <w:p>
      <w:pPr>
        <w:spacing w:line="560" w:lineRule="exact"/>
        <w:jc w:val="left"/>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pStyle w:val="3"/>
        <w:rPr>
          <w:rFonts w:ascii="宋体" w:hAnsi="宋体" w:eastAsia="宋体" w:cs="Times New Roman"/>
          <w:bCs w:val="0"/>
          <w:sz w:val="32"/>
          <w:szCs w:val="32"/>
        </w:rPr>
      </w:pPr>
      <w:r>
        <w:rPr>
          <w:rFonts w:hint="eastAsia" w:ascii="宋体" w:hAnsi="宋体" w:eastAsia="宋体" w:cs="Times New Roman"/>
          <w:bCs w:val="0"/>
          <w:sz w:val="32"/>
          <w:szCs w:val="32"/>
        </w:rPr>
        <w:t>廉政承诺书</w:t>
      </w:r>
    </w:p>
    <w:p>
      <w:pPr>
        <w:pStyle w:val="113"/>
        <w:ind w:firstLine="480"/>
        <w:rPr>
          <w:sz w:val="24"/>
          <w:szCs w:val="24"/>
        </w:rPr>
      </w:pPr>
      <w:r>
        <w:rPr>
          <w:rFonts w:hint="eastAsia"/>
          <w:sz w:val="24"/>
          <w:szCs w:val="24"/>
        </w:rPr>
        <w:t xml:space="preserve">我单位承诺在 </w:t>
      </w:r>
      <w:r>
        <w:rPr>
          <w:rFonts w:hint="eastAsia"/>
          <w:sz w:val="24"/>
          <w:szCs w:val="24"/>
          <w:u w:val="single"/>
        </w:rPr>
        <w:t xml:space="preserve">                      </w:t>
      </w:r>
      <w:r>
        <w:rPr>
          <w:rFonts w:hint="eastAsia"/>
          <w:sz w:val="24"/>
          <w:szCs w:val="24"/>
        </w:rPr>
        <w:t>项目评选活动中，未向江苏省机关事务管理局相关负责人输送任何利益，未将此次资金竞争性存放与江苏省机关事务管理局相关负责人在本单位亲属的业务、收入挂钩。我单位承诺在实施竞争性存放的资金存放中也不会存在其他利益输送行为。如有违反，将按评选文件的规定承担相应责任。</w:t>
      </w:r>
    </w:p>
    <w:p>
      <w:pPr>
        <w:pStyle w:val="113"/>
        <w:ind w:firstLine="480"/>
        <w:rPr>
          <w:sz w:val="24"/>
          <w:szCs w:val="24"/>
        </w:rPr>
      </w:pPr>
      <w:r>
        <w:rPr>
          <w:rFonts w:hint="eastAsia"/>
          <w:sz w:val="24"/>
          <w:szCs w:val="24"/>
        </w:rPr>
        <w:t>特此声明。</w:t>
      </w:r>
    </w:p>
    <w:p>
      <w:pPr>
        <w:pStyle w:val="113"/>
        <w:ind w:firstLine="1080" w:firstLineChars="450"/>
        <w:rPr>
          <w:sz w:val="24"/>
          <w:szCs w:val="24"/>
        </w:rPr>
      </w:pPr>
      <w:r>
        <w:rPr>
          <w:rFonts w:hint="eastAsia"/>
          <w:sz w:val="24"/>
          <w:szCs w:val="24"/>
        </w:rPr>
        <w:t xml:space="preserve">                                       承诺单位（</w:t>
      </w:r>
      <w:r>
        <w:rPr>
          <w:rFonts w:hint="eastAsia"/>
          <w:b/>
          <w:sz w:val="24"/>
          <w:szCs w:val="24"/>
        </w:rPr>
        <w:t>加盖公章</w:t>
      </w:r>
      <w:r>
        <w:rPr>
          <w:rFonts w:hint="eastAsia"/>
          <w:sz w:val="24"/>
          <w:szCs w:val="24"/>
        </w:rPr>
        <w:t>）：</w:t>
      </w:r>
    </w:p>
    <w:p>
      <w:pPr>
        <w:pStyle w:val="113"/>
        <w:ind w:firstLine="1080" w:firstLineChars="450"/>
        <w:rPr>
          <w:sz w:val="24"/>
          <w:szCs w:val="24"/>
        </w:rPr>
      </w:pPr>
      <w:r>
        <w:rPr>
          <w:rFonts w:hint="eastAsia"/>
          <w:sz w:val="24"/>
          <w:szCs w:val="24"/>
        </w:rPr>
        <w:t xml:space="preserve">                                       日期：     年   月   日</w:t>
      </w: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spacing w:line="560" w:lineRule="exact"/>
        <w:jc w:val="center"/>
        <w:rPr>
          <w:sz w:val="24"/>
          <w:szCs w:val="24"/>
          <w:u w:val="single"/>
        </w:rPr>
      </w:pPr>
    </w:p>
    <w:p>
      <w:pPr>
        <w:rPr>
          <w:rFonts w:ascii="宋体" w:hAnsi="宋体"/>
          <w:b/>
          <w:bCs/>
          <w:sz w:val="24"/>
          <w:szCs w:val="24"/>
        </w:rPr>
      </w:pPr>
    </w:p>
    <w:p>
      <w:pPr>
        <w:pStyle w:val="106"/>
        <w:autoSpaceDE/>
        <w:autoSpaceDN/>
        <w:adjustRightInd/>
        <w:spacing w:line="480" w:lineRule="auto"/>
        <w:rPr>
          <w:rFonts w:ascii="宋体" w:hAnsi="宋体"/>
          <w:bCs/>
          <w:kern w:val="2"/>
          <w:sz w:val="32"/>
          <w:szCs w:val="32"/>
        </w:rPr>
      </w:pPr>
      <w:r>
        <w:rPr>
          <w:rFonts w:ascii="宋体" w:hAnsi="宋体"/>
          <w:b w:val="0"/>
          <w:szCs w:val="24"/>
        </w:rPr>
        <w:br w:type="page"/>
      </w:r>
      <w:r>
        <w:rPr>
          <w:rFonts w:hint="eastAsia" w:ascii="宋体" w:hAnsi="宋体"/>
          <w:bCs/>
          <w:kern w:val="2"/>
          <w:sz w:val="32"/>
          <w:szCs w:val="32"/>
        </w:rPr>
        <w:t>三、本项目团队情况表</w:t>
      </w:r>
    </w:p>
    <w:p>
      <w:pPr>
        <w:pStyle w:val="106"/>
        <w:autoSpaceDE/>
        <w:autoSpaceDN/>
        <w:adjustRightInd/>
        <w:spacing w:line="480" w:lineRule="auto"/>
        <w:rPr>
          <w:rFonts w:ascii="宋体" w:hAnsi="宋体"/>
          <w:bCs/>
          <w:kern w:val="2"/>
          <w:sz w:val="32"/>
          <w:szCs w:val="32"/>
        </w:rPr>
      </w:pPr>
    </w:p>
    <w:tbl>
      <w:tblPr>
        <w:tblStyle w:val="49"/>
        <w:tblW w:w="91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0"/>
        <w:gridCol w:w="1190"/>
        <w:gridCol w:w="1190"/>
        <w:gridCol w:w="1190"/>
        <w:gridCol w:w="1443"/>
        <w:gridCol w:w="1561"/>
        <w:gridCol w:w="1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r>
              <w:rPr>
                <w:rFonts w:hint="eastAsia" w:ascii="宋体" w:hAnsi="宋体"/>
                <w:sz w:val="24"/>
                <w:szCs w:val="24"/>
              </w:rPr>
              <w:t>姓名</w:t>
            </w:r>
          </w:p>
        </w:tc>
        <w:tc>
          <w:tcPr>
            <w:tcW w:w="1190" w:type="dxa"/>
            <w:vAlign w:val="center"/>
          </w:tcPr>
          <w:p>
            <w:pPr>
              <w:jc w:val="center"/>
              <w:rPr>
                <w:rFonts w:ascii="宋体" w:hAnsi="宋体"/>
                <w:sz w:val="24"/>
                <w:szCs w:val="24"/>
              </w:rPr>
            </w:pPr>
            <w:r>
              <w:rPr>
                <w:rFonts w:hint="eastAsia" w:ascii="宋体" w:hAnsi="宋体"/>
                <w:sz w:val="24"/>
                <w:szCs w:val="24"/>
              </w:rPr>
              <w:t>所属分行或部门</w:t>
            </w:r>
          </w:p>
        </w:tc>
        <w:tc>
          <w:tcPr>
            <w:tcW w:w="1190" w:type="dxa"/>
            <w:vAlign w:val="center"/>
          </w:tcPr>
          <w:p>
            <w:pPr>
              <w:spacing w:line="480" w:lineRule="auto"/>
              <w:jc w:val="center"/>
              <w:rPr>
                <w:rFonts w:ascii="宋体" w:hAnsi="宋体"/>
                <w:sz w:val="24"/>
                <w:szCs w:val="24"/>
              </w:rPr>
            </w:pPr>
            <w:r>
              <w:rPr>
                <w:rFonts w:hint="eastAsia" w:ascii="宋体" w:hAnsi="宋体"/>
                <w:sz w:val="24"/>
                <w:szCs w:val="24"/>
              </w:rPr>
              <w:t>职位</w:t>
            </w:r>
          </w:p>
        </w:tc>
        <w:tc>
          <w:tcPr>
            <w:tcW w:w="1190" w:type="dxa"/>
            <w:vAlign w:val="center"/>
          </w:tcPr>
          <w:p>
            <w:pPr>
              <w:spacing w:line="480" w:lineRule="auto"/>
              <w:jc w:val="center"/>
              <w:rPr>
                <w:rFonts w:ascii="宋体" w:hAnsi="宋体"/>
                <w:sz w:val="24"/>
                <w:szCs w:val="24"/>
              </w:rPr>
            </w:pPr>
            <w:r>
              <w:rPr>
                <w:rFonts w:hint="eastAsia" w:ascii="宋体" w:hAnsi="宋体"/>
                <w:sz w:val="24"/>
                <w:szCs w:val="24"/>
              </w:rPr>
              <w:t>学历</w:t>
            </w:r>
          </w:p>
        </w:tc>
        <w:tc>
          <w:tcPr>
            <w:tcW w:w="1443" w:type="dxa"/>
            <w:vAlign w:val="center"/>
          </w:tcPr>
          <w:p>
            <w:pPr>
              <w:spacing w:line="480" w:lineRule="auto"/>
              <w:jc w:val="center"/>
              <w:rPr>
                <w:rFonts w:ascii="宋体" w:hAnsi="宋体"/>
                <w:sz w:val="24"/>
                <w:szCs w:val="24"/>
              </w:rPr>
            </w:pPr>
            <w:r>
              <w:rPr>
                <w:rFonts w:hint="eastAsia" w:ascii="宋体" w:hAnsi="宋体"/>
                <w:sz w:val="24"/>
                <w:szCs w:val="24"/>
              </w:rPr>
              <w:t>从业时间</w:t>
            </w:r>
          </w:p>
        </w:tc>
        <w:tc>
          <w:tcPr>
            <w:tcW w:w="1561" w:type="dxa"/>
            <w:vAlign w:val="center"/>
          </w:tcPr>
          <w:p>
            <w:pPr>
              <w:spacing w:line="480" w:lineRule="auto"/>
              <w:jc w:val="center"/>
              <w:rPr>
                <w:rFonts w:ascii="宋体" w:hAnsi="宋体"/>
                <w:sz w:val="24"/>
                <w:szCs w:val="24"/>
              </w:rPr>
            </w:pPr>
            <w:r>
              <w:rPr>
                <w:rFonts w:hint="eastAsia" w:ascii="宋体" w:hAnsi="宋体"/>
                <w:sz w:val="24"/>
                <w:szCs w:val="24"/>
              </w:rPr>
              <w:t>获奖情况</w:t>
            </w:r>
          </w:p>
        </w:tc>
        <w:tc>
          <w:tcPr>
            <w:tcW w:w="1405" w:type="dxa"/>
            <w:vAlign w:val="center"/>
          </w:tcPr>
          <w:p>
            <w:pPr>
              <w:spacing w:line="480" w:lineRule="auto"/>
              <w:jc w:val="center"/>
              <w:rPr>
                <w:rFonts w:ascii="宋体" w:hAnsi="宋体"/>
                <w:sz w:val="24"/>
                <w:szCs w:val="24"/>
              </w:rPr>
            </w:pPr>
            <w:r>
              <w:rPr>
                <w:rFonts w:hint="eastAsia" w:ascii="宋体" w:hAnsi="宋体"/>
                <w:sz w:val="24"/>
                <w:szCs w:val="24"/>
              </w:rPr>
              <w:t>手机号码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190" w:type="dxa"/>
            <w:vAlign w:val="center"/>
          </w:tcPr>
          <w:p>
            <w:pPr>
              <w:spacing w:line="480" w:lineRule="auto"/>
              <w:jc w:val="center"/>
              <w:rPr>
                <w:rFonts w:ascii="宋体" w:hAnsi="宋体"/>
                <w:sz w:val="24"/>
                <w:szCs w:val="24"/>
              </w:rPr>
            </w:pPr>
          </w:p>
        </w:tc>
        <w:tc>
          <w:tcPr>
            <w:tcW w:w="1443" w:type="dxa"/>
            <w:vAlign w:val="center"/>
          </w:tcPr>
          <w:p>
            <w:pPr>
              <w:spacing w:line="480" w:lineRule="auto"/>
              <w:jc w:val="center"/>
              <w:rPr>
                <w:rFonts w:ascii="宋体" w:hAnsi="宋体"/>
                <w:sz w:val="24"/>
                <w:szCs w:val="24"/>
              </w:rPr>
            </w:pPr>
          </w:p>
        </w:tc>
        <w:tc>
          <w:tcPr>
            <w:tcW w:w="1561" w:type="dxa"/>
            <w:vAlign w:val="center"/>
          </w:tcPr>
          <w:p>
            <w:pPr>
              <w:spacing w:line="480" w:lineRule="auto"/>
              <w:jc w:val="center"/>
              <w:rPr>
                <w:rFonts w:ascii="宋体" w:hAnsi="宋体"/>
                <w:sz w:val="24"/>
                <w:szCs w:val="24"/>
              </w:rPr>
            </w:pPr>
          </w:p>
        </w:tc>
        <w:tc>
          <w:tcPr>
            <w:tcW w:w="1405" w:type="dxa"/>
          </w:tcPr>
          <w:p>
            <w:pPr>
              <w:spacing w:line="480" w:lineRule="auto"/>
              <w:jc w:val="center"/>
              <w:rPr>
                <w:rFonts w:ascii="宋体" w:hAnsi="宋体"/>
                <w:sz w:val="24"/>
                <w:szCs w:val="24"/>
              </w:rPr>
            </w:pPr>
          </w:p>
        </w:tc>
      </w:tr>
    </w:tbl>
    <w:p>
      <w:pPr>
        <w:spacing w:line="300" w:lineRule="auto"/>
        <w:ind w:firstLine="480" w:firstLineChars="200"/>
        <w:rPr>
          <w:rFonts w:ascii="宋体" w:hAnsi="宋体"/>
          <w:sz w:val="24"/>
          <w:szCs w:val="24"/>
        </w:rPr>
      </w:pPr>
    </w:p>
    <w:p>
      <w:pPr>
        <w:spacing w:line="300" w:lineRule="auto"/>
        <w:ind w:firstLine="480" w:firstLineChars="200"/>
        <w:rPr>
          <w:rFonts w:ascii="宋体" w:hAnsi="宋体"/>
          <w:sz w:val="24"/>
          <w:szCs w:val="24"/>
        </w:rPr>
      </w:pPr>
    </w:p>
    <w:p>
      <w:pPr>
        <w:spacing w:line="300" w:lineRule="auto"/>
        <w:ind w:firstLine="480" w:firstLineChars="200"/>
        <w:rPr>
          <w:rFonts w:ascii="宋体" w:hAnsi="宋体"/>
          <w:sz w:val="24"/>
          <w:szCs w:val="24"/>
        </w:rPr>
      </w:pPr>
      <w:r>
        <w:rPr>
          <w:rFonts w:hint="eastAsia" w:ascii="宋体" w:hAnsi="宋体"/>
          <w:sz w:val="24"/>
          <w:szCs w:val="24"/>
        </w:rPr>
        <w:t>说明：</w:t>
      </w:r>
    </w:p>
    <w:p>
      <w:pPr>
        <w:numPr>
          <w:ilvl w:val="0"/>
          <w:numId w:val="9"/>
        </w:numPr>
        <w:spacing w:line="300" w:lineRule="auto"/>
        <w:ind w:firstLine="480" w:firstLineChars="200"/>
        <w:rPr>
          <w:rFonts w:ascii="宋体" w:hAnsi="宋体"/>
          <w:sz w:val="24"/>
          <w:szCs w:val="24"/>
        </w:rPr>
      </w:pPr>
      <w:r>
        <w:rPr>
          <w:rFonts w:hint="eastAsia" w:ascii="宋体" w:hAnsi="宋体"/>
          <w:sz w:val="24"/>
          <w:szCs w:val="24"/>
        </w:rPr>
        <w:t>行数不够，可自行添加。</w:t>
      </w:r>
    </w:p>
    <w:p>
      <w:pPr>
        <w:spacing w:line="300" w:lineRule="auto"/>
        <w:rPr>
          <w:rFonts w:ascii="宋体" w:hAnsi="宋体"/>
          <w:sz w:val="24"/>
          <w:szCs w:val="24"/>
        </w:rPr>
      </w:pPr>
    </w:p>
    <w:p>
      <w:pPr>
        <w:spacing w:line="480" w:lineRule="auto"/>
        <w:rPr>
          <w:rFonts w:ascii="宋体" w:hAnsi="宋体"/>
          <w:b/>
          <w:sz w:val="30"/>
        </w:rPr>
      </w:pPr>
    </w:p>
    <w:p>
      <w:pPr>
        <w:pStyle w:val="106"/>
        <w:autoSpaceDE/>
        <w:autoSpaceDN/>
        <w:adjustRightInd/>
        <w:spacing w:line="480" w:lineRule="auto"/>
        <w:rPr>
          <w:rFonts w:ascii="宋体" w:hAnsi="宋体"/>
        </w:rPr>
      </w:pPr>
      <w:r>
        <w:rPr>
          <w:rFonts w:ascii="宋体" w:hAnsi="宋体"/>
          <w:b w:val="0"/>
          <w:sz w:val="30"/>
        </w:rPr>
        <w:br w:type="page"/>
      </w:r>
      <w:r>
        <w:rPr>
          <w:rFonts w:hint="eastAsia" w:ascii="宋体" w:hAnsi="宋体"/>
          <w:b w:val="0"/>
          <w:sz w:val="30"/>
        </w:rPr>
        <w:t>四、</w:t>
      </w:r>
      <w:r>
        <w:rPr>
          <w:rFonts w:hint="eastAsia" w:ascii="宋体" w:hAnsi="宋体"/>
          <w:bCs/>
          <w:kern w:val="2"/>
          <w:sz w:val="32"/>
          <w:szCs w:val="32"/>
        </w:rPr>
        <w:t>对本项目拟定的服务承诺</w:t>
      </w: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ind w:firstLine="480" w:firstLineChars="200"/>
        <w:jc w:val="both"/>
        <w:rPr>
          <w:rFonts w:ascii="宋体" w:hAnsi="宋体"/>
          <w:b w:val="0"/>
          <w:kern w:val="2"/>
          <w:szCs w:val="24"/>
        </w:rPr>
      </w:pPr>
    </w:p>
    <w:p>
      <w:pPr>
        <w:pStyle w:val="106"/>
        <w:autoSpaceDE/>
        <w:autoSpaceDN/>
        <w:adjustRightInd/>
        <w:spacing w:line="480" w:lineRule="auto"/>
        <w:jc w:val="both"/>
        <w:rPr>
          <w:rFonts w:ascii="宋体" w:hAnsi="宋体"/>
          <w:b w:val="0"/>
          <w:kern w:val="2"/>
          <w:szCs w:val="24"/>
        </w:rPr>
      </w:pPr>
    </w:p>
    <w:p>
      <w:pPr>
        <w:pStyle w:val="106"/>
        <w:autoSpaceDE/>
        <w:autoSpaceDN/>
        <w:adjustRightInd/>
        <w:spacing w:line="480" w:lineRule="auto"/>
        <w:rPr>
          <w:rFonts w:ascii="宋体" w:hAnsi="宋体"/>
          <w:sz w:val="30"/>
        </w:rPr>
      </w:pPr>
      <w:bookmarkStart w:id="135" w:name="_Toc123095698"/>
      <w:bookmarkStart w:id="136" w:name="_Toc141669185"/>
      <w:r>
        <w:rPr>
          <w:szCs w:val="24"/>
        </w:rPr>
        <w:br w:type="page"/>
      </w:r>
      <w:r>
        <w:rPr>
          <w:rFonts w:hint="eastAsia" w:ascii="宋体" w:hAnsi="宋体"/>
          <w:sz w:val="30"/>
        </w:rPr>
        <w:t>五</w:t>
      </w:r>
      <w:r>
        <w:rPr>
          <w:rFonts w:ascii="宋体" w:hAnsi="宋体"/>
          <w:sz w:val="30"/>
        </w:rPr>
        <w:t>、</w:t>
      </w:r>
      <w:r>
        <w:rPr>
          <w:rFonts w:hint="eastAsia" w:ascii="宋体" w:hAnsi="宋体"/>
          <w:sz w:val="30"/>
        </w:rPr>
        <w:t>响应方案</w:t>
      </w:r>
    </w:p>
    <w:bookmarkEnd w:id="135"/>
    <w:bookmarkEnd w:id="136"/>
    <w:p>
      <w:pPr>
        <w:ind w:firstLine="482" w:firstLineChars="200"/>
        <w:rPr>
          <w:rFonts w:ascii="宋体" w:hAnsi="宋体" w:eastAsia="幼圆" w:cs="Arial"/>
          <w:b/>
          <w:bCs/>
          <w:sz w:val="24"/>
          <w:szCs w:val="24"/>
        </w:rPr>
      </w:pPr>
    </w:p>
    <w:p>
      <w:pPr>
        <w:spacing w:line="480" w:lineRule="exact"/>
        <w:rPr>
          <w:rFonts w:ascii="宋体" w:hAnsi="宋体"/>
          <w:sz w:val="28"/>
        </w:rPr>
      </w:pPr>
    </w:p>
    <w:p>
      <w:pPr>
        <w:pStyle w:val="3"/>
        <w:ind w:firstLine="2409" w:firstLineChars="1000"/>
        <w:jc w:val="both"/>
        <w:rPr>
          <w:rFonts w:ascii="宋体" w:hAnsi="宋体"/>
          <w:sz w:val="24"/>
          <w:szCs w:val="24"/>
        </w:rPr>
      </w:pPr>
    </w:p>
    <w:p/>
    <w:p>
      <w:pPr>
        <w:jc w:val="center"/>
        <w:rPr>
          <w:rFonts w:ascii="宋体" w:hAnsi="宋体"/>
          <w:sz w:val="24"/>
          <w:szCs w:val="24"/>
        </w:rPr>
      </w:pPr>
    </w:p>
    <w:p>
      <w:pPr>
        <w:jc w:val="center"/>
        <w:rPr>
          <w:rFonts w:ascii="宋体" w:hAnsi="宋体"/>
          <w:sz w:val="24"/>
          <w:szCs w:val="24"/>
        </w:rPr>
      </w:pPr>
    </w:p>
    <w:p>
      <w:pPr>
        <w:rPr>
          <w:rFonts w:ascii="宋体" w:hAnsi="宋体"/>
          <w:sz w:val="24"/>
          <w:szCs w:val="24"/>
        </w:rPr>
      </w:pPr>
    </w:p>
    <w:p>
      <w:pPr>
        <w:rPr>
          <w:rFonts w:ascii="宋体" w:hAnsi="宋体"/>
          <w:sz w:val="24"/>
          <w:szCs w:val="24"/>
        </w:rPr>
      </w:pPr>
    </w:p>
    <w:bookmarkEnd w:id="131"/>
    <w:p>
      <w:pPr>
        <w:pStyle w:val="4"/>
        <w:ind w:firstLine="0"/>
        <w:rPr>
          <w:rFonts w:ascii="宋体" w:hAnsi="宋体"/>
          <w:sz w:val="24"/>
        </w:rPr>
      </w:pPr>
      <w:bookmarkStart w:id="137" w:name="_Hlt26955066"/>
      <w:bookmarkEnd w:id="137"/>
      <w:bookmarkStart w:id="138" w:name="_Hlt26671374"/>
      <w:bookmarkEnd w:id="138"/>
      <w:bookmarkStart w:id="139" w:name="_Hlt26609389"/>
      <w:bookmarkEnd w:id="139"/>
      <w:bookmarkStart w:id="140" w:name="_Toc462564146"/>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r>
        <w:rPr>
          <w:rFonts w:hint="eastAsia" w:ascii="宋体" w:hAnsi="宋体"/>
          <w:sz w:val="24"/>
        </w:rPr>
        <w:t>.</w:t>
      </w: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p>
      <w:pPr>
        <w:pStyle w:val="4"/>
        <w:ind w:firstLine="0"/>
        <w:rPr>
          <w:rFonts w:ascii="宋体" w:hAnsi="宋体"/>
          <w:sz w:val="24"/>
        </w:rPr>
      </w:pPr>
    </w:p>
    <w:bookmarkEnd w:id="121"/>
    <w:bookmarkEnd w:id="122"/>
    <w:bookmarkEnd w:id="140"/>
    <w:p>
      <w:pPr>
        <w:pStyle w:val="3"/>
        <w:jc w:val="both"/>
        <w:rPr>
          <w:rFonts w:ascii="宋体" w:hAnsi="宋体" w:eastAsia="宋体" w:cs="Times New Roman"/>
          <w:bCs w:val="0"/>
          <w:sz w:val="32"/>
          <w:szCs w:val="32"/>
        </w:rPr>
      </w:pPr>
      <w:bookmarkStart w:id="141" w:name="_格式2__法定代表人授权书"/>
      <w:bookmarkEnd w:id="141"/>
    </w:p>
    <w:p>
      <w:pPr>
        <w:pStyle w:val="4"/>
      </w:pPr>
    </w:p>
    <w:p>
      <w:pPr>
        <w:widowControl/>
        <w:jc w:val="left"/>
        <w:rPr>
          <w:rFonts w:ascii="宋体" w:hAnsi="宋体"/>
          <w:b/>
          <w:sz w:val="32"/>
          <w:szCs w:val="32"/>
        </w:rPr>
      </w:pPr>
      <w:r>
        <w:rPr>
          <w:rFonts w:ascii="宋体" w:hAnsi="宋体"/>
          <w:bCs/>
          <w:sz w:val="32"/>
          <w:szCs w:val="32"/>
        </w:rPr>
        <w:br w:type="page"/>
      </w:r>
    </w:p>
    <w:p>
      <w:pPr>
        <w:pStyle w:val="3"/>
        <w:ind w:firstLine="1"/>
        <w:rPr>
          <w:rFonts w:eastAsia="仿宋_GB2312"/>
          <w:sz w:val="24"/>
          <w:szCs w:val="20"/>
        </w:rPr>
      </w:pPr>
      <w:r>
        <w:rPr>
          <w:rFonts w:hint="eastAsia" w:ascii="宋体" w:hAnsi="宋体" w:eastAsia="宋体" w:cs="Times New Roman"/>
          <w:bCs w:val="0"/>
          <w:sz w:val="32"/>
          <w:szCs w:val="32"/>
        </w:rPr>
        <w:t>六、</w:t>
      </w:r>
      <w:r>
        <w:rPr>
          <w:rFonts w:hint="eastAsia" w:ascii="宋体" w:hAnsi="宋体" w:eastAsia="宋体"/>
          <w:sz w:val="32"/>
          <w:szCs w:val="32"/>
        </w:rPr>
        <w:t>响应</w:t>
      </w:r>
      <w:r>
        <w:rPr>
          <w:rFonts w:hint="eastAsia" w:ascii="宋体" w:hAnsi="宋体"/>
          <w:sz w:val="32"/>
          <w:szCs w:val="32"/>
        </w:rPr>
        <w:t>利率报价一览表</w:t>
      </w:r>
    </w:p>
    <w:p>
      <w:pPr>
        <w:ind w:firstLine="480"/>
        <w:rPr>
          <w:rFonts w:ascii="宋体" w:hAnsi="宋体"/>
          <w:sz w:val="24"/>
          <w:szCs w:val="24"/>
        </w:rPr>
      </w:pPr>
      <w:r>
        <w:rPr>
          <w:rFonts w:hint="eastAsia" w:ascii="宋体" w:hAnsi="宋体"/>
          <w:sz w:val="24"/>
          <w:szCs w:val="24"/>
        </w:rPr>
        <w:t>报名银行全称：</w:t>
      </w:r>
    </w:p>
    <w:p>
      <w:pPr>
        <w:ind w:firstLine="480"/>
        <w:rPr>
          <w:rFonts w:ascii="宋体" w:hAnsi="宋体"/>
          <w:sz w:val="24"/>
          <w:szCs w:val="24"/>
        </w:rPr>
      </w:pPr>
      <w:r>
        <w:rPr>
          <w:rFonts w:hint="eastAsia" w:ascii="宋体" w:hAnsi="宋体"/>
          <w:sz w:val="24"/>
          <w:szCs w:val="24"/>
        </w:rPr>
        <w:t xml:space="preserve">项目名称：                                  </w:t>
      </w:r>
    </w:p>
    <w:tbl>
      <w:tblPr>
        <w:tblStyle w:val="4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74" w:hRule="atLeast"/>
        </w:trPr>
        <w:tc>
          <w:tcPr>
            <w:tcW w:w="8613" w:type="dxa"/>
            <w:vAlign w:val="center"/>
          </w:tcPr>
          <w:p>
            <w:pPr>
              <w:pStyle w:val="19"/>
              <w:adjustRightInd w:val="0"/>
              <w:snapToGrid w:val="0"/>
              <w:spacing w:line="300" w:lineRule="auto"/>
              <w:jc w:val="center"/>
              <w:rPr>
                <w:rFonts w:ascii="宋体" w:hAnsi="宋体" w:cs="宋体"/>
                <w:b/>
                <w:sz w:val="24"/>
                <w:szCs w:val="24"/>
              </w:rPr>
            </w:pPr>
            <w:r>
              <w:rPr>
                <w:rFonts w:hint="eastAsia" w:ascii="宋体" w:hAnsi="宋体" w:cs="宋体"/>
                <w:b/>
                <w:sz w:val="24"/>
                <w:szCs w:val="24"/>
              </w:rPr>
              <w:t>所报的</w:t>
            </w:r>
            <w:r>
              <w:rPr>
                <w:rFonts w:hint="eastAsia" w:ascii="宋体" w:hAnsi="宋体"/>
                <w:b/>
                <w:bCs/>
                <w:sz w:val="24"/>
              </w:rPr>
              <w:t>一年期及一年期以下定期存款利率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48" w:hRule="atLeast"/>
        </w:trPr>
        <w:tc>
          <w:tcPr>
            <w:tcW w:w="8613" w:type="dxa"/>
            <w:vAlign w:val="center"/>
          </w:tcPr>
          <w:p>
            <w:pPr>
              <w:pStyle w:val="19"/>
              <w:adjustRightInd w:val="0"/>
              <w:snapToGrid w:val="0"/>
              <w:spacing w:line="300" w:lineRule="auto"/>
              <w:jc w:val="center"/>
              <w:rPr>
                <w:rFonts w:ascii="宋体" w:hAnsi="宋体" w:cs="宋体"/>
                <w:b/>
              </w:rPr>
            </w:pPr>
          </w:p>
          <w:p>
            <w:pPr>
              <w:pStyle w:val="19"/>
              <w:adjustRightInd w:val="0"/>
              <w:snapToGrid w:val="0"/>
              <w:spacing w:line="300" w:lineRule="auto"/>
              <w:ind w:firstLine="301" w:firstLineChars="100"/>
              <w:jc w:val="center"/>
              <w:rPr>
                <w:rFonts w:ascii="宋体" w:hAnsi="宋体" w:cs="宋体"/>
                <w:b/>
                <w:sz w:val="30"/>
                <w:szCs w:val="30"/>
              </w:rPr>
            </w:pPr>
            <w:r>
              <w:rPr>
                <w:rFonts w:hint="eastAsia" w:ascii="宋体" w:hAnsi="宋体" w:cs="宋体"/>
                <w:b/>
                <w:sz w:val="30"/>
                <w:szCs w:val="30"/>
              </w:rPr>
              <w:t xml:space="preserve"> </w:t>
            </w:r>
            <w:r>
              <w:rPr>
                <w:rFonts w:hint="eastAsia" w:ascii="宋体" w:hAnsi="宋体" w:cs="宋体"/>
                <w:b/>
                <w:sz w:val="30"/>
                <w:szCs w:val="30"/>
                <w:u w:val="single"/>
              </w:rPr>
              <w:t xml:space="preserve">       </w:t>
            </w:r>
            <w:r>
              <w:rPr>
                <w:rFonts w:hint="eastAsia" w:ascii="宋体" w:hAnsi="宋体" w:cs="宋体"/>
                <w:b/>
                <w:sz w:val="30"/>
                <w:szCs w:val="30"/>
              </w:rPr>
              <w:t>%（基准利率+</w:t>
            </w:r>
            <w:r>
              <w:rPr>
                <w:rFonts w:hint="eastAsia" w:ascii="宋体" w:hAnsi="宋体" w:cs="宋体"/>
                <w:b/>
                <w:sz w:val="30"/>
                <w:szCs w:val="30"/>
                <w:u w:val="single"/>
              </w:rPr>
              <w:t xml:space="preserve">    </w:t>
            </w:r>
            <w:r>
              <w:rPr>
                <w:rFonts w:hint="eastAsia" w:ascii="宋体" w:hAnsi="宋体" w:cs="宋体"/>
                <w:b/>
                <w:sz w:val="30"/>
                <w:szCs w:val="30"/>
              </w:rPr>
              <w:t>BP）</w:t>
            </w:r>
          </w:p>
          <w:p/>
          <w:p>
            <w:pPr>
              <w:pStyle w:val="19"/>
              <w:adjustRightInd w:val="0"/>
              <w:snapToGrid w:val="0"/>
              <w:spacing w:line="300" w:lineRule="auto"/>
              <w:jc w:val="center"/>
              <w:rPr>
                <w:rFonts w:ascii="宋体" w:hAnsi="宋体" w:cs="宋体"/>
                <w:b/>
              </w:rPr>
            </w:pPr>
          </w:p>
        </w:tc>
      </w:tr>
    </w:tbl>
    <w:p>
      <w:pPr>
        <w:rPr>
          <w:rFonts w:ascii="宋体" w:hAnsi="宋体"/>
          <w:b/>
          <w:bCs/>
          <w:i/>
          <w:sz w:val="24"/>
          <w:u w:val="single"/>
        </w:rPr>
      </w:pPr>
    </w:p>
    <w:p>
      <w:pPr>
        <w:tabs>
          <w:tab w:val="left" w:pos="900"/>
        </w:tabs>
        <w:spacing w:line="560" w:lineRule="exact"/>
        <w:ind w:firstLine="480" w:firstLineChars="200"/>
        <w:rPr>
          <w:rFonts w:hAnsi="宋体"/>
          <w:i/>
          <w:iCs/>
          <w:sz w:val="24"/>
          <w:u w:val="single"/>
        </w:rPr>
      </w:pPr>
      <w:r>
        <w:rPr>
          <w:rFonts w:hint="eastAsia" w:ascii="宋体" w:hAnsi="宋体"/>
          <w:b/>
          <w:bCs/>
          <w:i/>
          <w:sz w:val="24"/>
          <w:u w:val="single"/>
        </w:rPr>
        <w:t>本项目</w:t>
      </w:r>
      <w:bookmarkStart w:id="142" w:name="_GoBack"/>
      <w:bookmarkEnd w:id="142"/>
      <w:r>
        <w:rPr>
          <w:rFonts w:hint="eastAsia" w:ascii="宋体" w:hAnsi="宋体"/>
          <w:b/>
          <w:bCs/>
          <w:i/>
          <w:sz w:val="24"/>
          <w:u w:val="single"/>
        </w:rPr>
        <w:t>响应利率报价为报名银行响应时所报的一年期及一年期以下定期存款利率报价（不接受大额存单等存款类金融产品），各报名银行响应时所报的定期存款利率上浮幅度不得低于人民银行公布的一年期及一年期以下定期存款基准利率加50BP，否则视为无效响应。</w:t>
      </w:r>
    </w:p>
    <w:p>
      <w:pPr>
        <w:ind w:firstLine="482" w:firstLineChars="200"/>
        <w:rPr>
          <w:rFonts w:ascii="宋体" w:hAnsi="宋体"/>
          <w:b/>
          <w:bCs/>
          <w:i/>
          <w:kern w:val="0"/>
          <w:sz w:val="24"/>
          <w:szCs w:val="24"/>
          <w:u w:val="single"/>
        </w:rPr>
      </w:pPr>
      <w:r>
        <w:rPr>
          <w:rFonts w:hint="eastAsia" w:ascii="宋体" w:hAnsi="宋体"/>
          <w:b/>
          <w:bCs/>
          <w:i/>
          <w:kern w:val="0"/>
          <w:sz w:val="24"/>
          <w:szCs w:val="24"/>
          <w:u w:val="single"/>
        </w:rPr>
        <w:t>响应利率报价一览表必须加盖公章，必须单独密封在信封中，在响应文件接收截止时间前与响应文件分别递交，否则视为无效响应。</w:t>
      </w:r>
    </w:p>
    <w:p>
      <w:pPr>
        <w:ind w:firstLine="482" w:firstLineChars="200"/>
        <w:rPr>
          <w:rFonts w:ascii="宋体" w:hAnsi="宋体"/>
          <w:b/>
          <w:bCs/>
          <w:i/>
          <w:kern w:val="0"/>
          <w:sz w:val="24"/>
          <w:szCs w:val="24"/>
          <w:u w:val="single"/>
        </w:rPr>
      </w:pPr>
    </w:p>
    <w:p>
      <w:pPr>
        <w:rPr>
          <w:rFonts w:ascii="宋体" w:hAnsi="宋体"/>
          <w:b/>
          <w:i/>
          <w:sz w:val="24"/>
          <w:szCs w:val="24"/>
          <w:u w:val="single"/>
        </w:rPr>
      </w:pPr>
    </w:p>
    <w:p>
      <w:pPr>
        <w:rPr>
          <w:rFonts w:ascii="宋体" w:hAnsi="宋体"/>
          <w:b/>
          <w:i/>
          <w:sz w:val="24"/>
          <w:szCs w:val="24"/>
          <w:u w:val="single"/>
        </w:rPr>
      </w:pPr>
    </w:p>
    <w:p>
      <w:pPr>
        <w:widowControl/>
        <w:rPr>
          <w:rFonts w:ascii="宋体" w:hAnsi="宋体" w:cs="宋体"/>
          <w:kern w:val="0"/>
          <w:sz w:val="28"/>
          <w:szCs w:val="28"/>
        </w:rPr>
      </w:pPr>
      <w:r>
        <w:rPr>
          <w:rFonts w:hint="eastAsia" w:ascii="宋体" w:hAnsi="宋体"/>
          <w:sz w:val="24"/>
          <w:szCs w:val="24"/>
        </w:rPr>
        <w:t xml:space="preserve">                                           </w:t>
      </w:r>
      <w:r>
        <w:rPr>
          <w:rFonts w:hint="eastAsia" w:ascii="宋体" w:hAnsi="宋体"/>
          <w:sz w:val="30"/>
        </w:rPr>
        <w:t xml:space="preserve"> </w:t>
      </w:r>
      <w:r>
        <w:rPr>
          <w:rFonts w:hint="eastAsia" w:ascii="宋体" w:hAnsi="宋体"/>
          <w:sz w:val="28"/>
          <w:szCs w:val="28"/>
        </w:rPr>
        <w:t xml:space="preserve">报名银行（公章） </w:t>
      </w:r>
      <w:r>
        <w:rPr>
          <w:rFonts w:hint="eastAsia" w:ascii="宋体" w:hAnsi="宋体" w:cs="宋体"/>
          <w:kern w:val="0"/>
          <w:sz w:val="28"/>
          <w:szCs w:val="28"/>
        </w:rPr>
        <w:t>：</w:t>
      </w:r>
    </w:p>
    <w:p>
      <w:pPr>
        <w:ind w:firstLine="480"/>
        <w:rPr>
          <w:rFonts w:ascii="宋体" w:hAnsi="宋体"/>
          <w:sz w:val="24"/>
          <w:szCs w:val="24"/>
        </w:rPr>
      </w:pPr>
      <w:r>
        <w:rPr>
          <w:rFonts w:hint="eastAsia" w:ascii="宋体" w:hAnsi="宋体"/>
          <w:sz w:val="24"/>
          <w:szCs w:val="24"/>
        </w:rPr>
        <w:t xml:space="preserve">  </w:t>
      </w:r>
    </w:p>
    <w:p>
      <w:pPr>
        <w:ind w:firstLine="480"/>
        <w:rPr>
          <w:rFonts w:ascii="宋体" w:hAnsi="宋体"/>
          <w:sz w:val="24"/>
          <w:szCs w:val="24"/>
        </w:rPr>
      </w:pPr>
      <w:r>
        <w:rPr>
          <w:rFonts w:hint="eastAsia" w:ascii="宋体" w:hAnsi="宋体"/>
          <w:sz w:val="24"/>
          <w:szCs w:val="24"/>
        </w:rPr>
        <w:t xml:space="preserve">                                        日期：  </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sectPr>
      <w:headerReference r:id="rId3" w:type="default"/>
      <w:footerReference r:id="rId4" w:type="default"/>
      <w:footerReference r:id="rId5" w:type="even"/>
      <w:pgSz w:w="11906" w:h="16838"/>
      <w:pgMar w:top="1418" w:right="1588" w:bottom="1418" w:left="1365" w:header="851" w:footer="907" w:gutter="0"/>
      <w:pgNumType w:fmt="decimalFullWidth"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幼圆">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003F01FF" w:csb1="00000000"/>
  </w:font>
  <w:font w:name="方正黑体_GBK">
    <w:panose1 w:val="03000509000000000000"/>
    <w:charset w:val="86"/>
    <w:family w:val="script"/>
    <w:pitch w:val="default"/>
    <w:sig w:usb0="00000001" w:usb1="080E0000" w:usb2="00000000" w:usb3="00000000" w:csb0="00040000" w:csb1="00000000"/>
  </w:font>
  <w:font w:name="Showcard Gothic">
    <w:panose1 w:val="04020904020102020604"/>
    <w:charset w:val="00"/>
    <w:family w:val="decorative"/>
    <w:pitch w:val="default"/>
    <w:sig w:usb0="00000003" w:usb1="00000000" w:usb2="00000000" w:usb3="00000000" w:csb0="20000001"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framePr w:wrap="around" w:vAnchor="text" w:hAnchor="margin" w:xAlign="center" w:y="1"/>
      <w:rPr>
        <w:rStyle w:val="45"/>
        <w:rFonts w:ascii="宋体" w:hAnsi="宋体"/>
      </w:rPr>
    </w:pPr>
    <w:r>
      <w:rPr>
        <w:rFonts w:ascii="宋体" w:hAnsi="宋体"/>
      </w:rPr>
      <w:fldChar w:fldCharType="begin"/>
    </w:r>
    <w:r>
      <w:rPr>
        <w:rStyle w:val="45"/>
        <w:rFonts w:ascii="宋体" w:hAnsi="宋体"/>
      </w:rPr>
      <w:instrText xml:space="preserve">PAGE  </w:instrText>
    </w:r>
    <w:r>
      <w:rPr>
        <w:rFonts w:ascii="宋体" w:hAnsi="宋体"/>
      </w:rPr>
      <w:fldChar w:fldCharType="separate"/>
    </w:r>
    <w:r>
      <w:rPr>
        <w:rStyle w:val="45"/>
        <w:rFonts w:ascii="宋体" w:hAnsi="宋体"/>
      </w:rPr>
      <w:t>２１</w:t>
    </w:r>
    <w:r>
      <w:rPr>
        <w:rFonts w:ascii="宋体" w:hAnsi="宋体"/>
      </w:rPr>
      <w:fldChar w:fldCharType="end"/>
    </w:r>
  </w:p>
  <w:p>
    <w:pPr>
      <w:pStyle w:val="29"/>
      <w:jc w:val="center"/>
      <w:rPr>
        <w:b/>
        <w:i/>
      </w:rPr>
    </w:pPr>
    <w:r>
      <w:rPr>
        <w:b/>
        <w:i/>
        <w:kern w:val="0"/>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framePr w:wrap="around" w:vAnchor="text" w:hAnchor="margin" w:xAlign="center" w:y="1"/>
      <w:rPr>
        <w:rStyle w:val="45"/>
      </w:rPr>
    </w:pPr>
    <w:r>
      <w:fldChar w:fldCharType="begin"/>
    </w:r>
    <w:r>
      <w:rPr>
        <w:rStyle w:val="45"/>
      </w:rPr>
      <w:instrText xml:space="preserve">PAGE  </w:instrText>
    </w:r>
    <w:r>
      <w:fldChar w:fldCharType="separate"/>
    </w:r>
    <w:r>
      <w:rPr>
        <w:rStyle w:val="45"/>
      </w:rPr>
      <w:t>1</w:t>
    </w:r>
    <w:r>
      <w:fldChar w:fldCharType="end"/>
    </w:r>
  </w:p>
  <w:p>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699AB3"/>
    <w:multiLevelType w:val="singleLevel"/>
    <w:tmpl w:val="AE699AB3"/>
    <w:lvl w:ilvl="0" w:tentative="0">
      <w:start w:val="1"/>
      <w:numFmt w:val="decimal"/>
      <w:suff w:val="space"/>
      <w:lvlText w:val="%1."/>
      <w:lvlJc w:val="left"/>
    </w:lvl>
  </w:abstractNum>
  <w:abstractNum w:abstractNumId="1">
    <w:nsid w:val="BCA4C8FA"/>
    <w:multiLevelType w:val="singleLevel"/>
    <w:tmpl w:val="BCA4C8FA"/>
    <w:lvl w:ilvl="0" w:tentative="0">
      <w:start w:val="4"/>
      <w:numFmt w:val="decimal"/>
      <w:suff w:val="space"/>
      <w:lvlText w:val="(%1）"/>
      <w:lvlJc w:val="left"/>
      <w:pPr>
        <w:ind w:left="600" w:firstLine="0"/>
      </w:pPr>
    </w:lvl>
  </w:abstractNum>
  <w:abstractNum w:abstractNumId="2">
    <w:nsid w:val="D13AE379"/>
    <w:multiLevelType w:val="singleLevel"/>
    <w:tmpl w:val="D13AE379"/>
    <w:lvl w:ilvl="0" w:tentative="0">
      <w:start w:val="1"/>
      <w:numFmt w:val="decimal"/>
      <w:suff w:val="space"/>
      <w:lvlText w:val="（%1）"/>
      <w:lvlJc w:val="left"/>
    </w:lvl>
  </w:abstractNum>
  <w:abstractNum w:abstractNumId="3">
    <w:nsid w:val="EB14A008"/>
    <w:multiLevelType w:val="singleLevel"/>
    <w:tmpl w:val="EB14A008"/>
    <w:lvl w:ilvl="0" w:tentative="0">
      <w:start w:val="2"/>
      <w:numFmt w:val="decimal"/>
      <w:suff w:val="nothing"/>
      <w:lvlText w:val="%1、"/>
      <w:lvlJc w:val="left"/>
    </w:lvl>
  </w:abstractNum>
  <w:abstractNum w:abstractNumId="4">
    <w:nsid w:val="06784D56"/>
    <w:multiLevelType w:val="singleLevel"/>
    <w:tmpl w:val="06784D56"/>
    <w:lvl w:ilvl="0" w:tentative="0">
      <w:start w:val="1"/>
      <w:numFmt w:val="upperLetter"/>
      <w:pStyle w:val="85"/>
      <w:lvlText w:val="附录%1."/>
      <w:lvlJc w:val="left"/>
      <w:pPr>
        <w:tabs>
          <w:tab w:val="left" w:pos="907"/>
        </w:tabs>
        <w:ind w:left="907" w:hanging="907"/>
      </w:pPr>
      <w:rPr>
        <w:rFonts w:hint="eastAsia"/>
      </w:rPr>
    </w:lvl>
  </w:abstractNum>
  <w:abstractNum w:abstractNumId="5">
    <w:nsid w:val="26DA35B6"/>
    <w:multiLevelType w:val="multilevel"/>
    <w:tmpl w:val="26DA35B6"/>
    <w:lvl w:ilvl="0" w:tentative="0">
      <w:start w:val="1"/>
      <w:numFmt w:val="japaneseCounting"/>
      <w:lvlText w:val="%1、"/>
      <w:lvlJc w:val="left"/>
      <w:pPr>
        <w:ind w:left="1380" w:hanging="720"/>
      </w:pPr>
      <w:rPr>
        <w:rFonts w:hint="default"/>
        <w:b w:val="0"/>
        <w:sz w:val="24"/>
      </w:rPr>
    </w:lvl>
    <w:lvl w:ilvl="1" w:tentative="0">
      <w:start w:val="1"/>
      <w:numFmt w:val="lowerLetter"/>
      <w:lvlText w:val="%2)"/>
      <w:lvlJc w:val="left"/>
      <w:pPr>
        <w:ind w:left="1500" w:hanging="420"/>
      </w:pPr>
    </w:lvl>
    <w:lvl w:ilvl="2" w:tentative="0">
      <w:start w:val="1"/>
      <w:numFmt w:val="lowerRoman"/>
      <w:lvlText w:val="%3."/>
      <w:lvlJc w:val="right"/>
      <w:pPr>
        <w:ind w:left="1920" w:hanging="420"/>
      </w:pPr>
    </w:lvl>
    <w:lvl w:ilvl="3" w:tentative="0">
      <w:start w:val="1"/>
      <w:numFmt w:val="decimal"/>
      <w:lvlText w:val="%4."/>
      <w:lvlJc w:val="left"/>
      <w:pPr>
        <w:ind w:left="2340" w:hanging="420"/>
      </w:pPr>
    </w:lvl>
    <w:lvl w:ilvl="4" w:tentative="0">
      <w:start w:val="1"/>
      <w:numFmt w:val="lowerLetter"/>
      <w:lvlText w:val="%5)"/>
      <w:lvlJc w:val="left"/>
      <w:pPr>
        <w:ind w:left="2760" w:hanging="420"/>
      </w:pPr>
    </w:lvl>
    <w:lvl w:ilvl="5" w:tentative="0">
      <w:start w:val="1"/>
      <w:numFmt w:val="lowerRoman"/>
      <w:lvlText w:val="%6."/>
      <w:lvlJc w:val="right"/>
      <w:pPr>
        <w:ind w:left="3180" w:hanging="420"/>
      </w:pPr>
    </w:lvl>
    <w:lvl w:ilvl="6" w:tentative="0">
      <w:start w:val="1"/>
      <w:numFmt w:val="decimal"/>
      <w:lvlText w:val="%7."/>
      <w:lvlJc w:val="left"/>
      <w:pPr>
        <w:ind w:left="3600" w:hanging="420"/>
      </w:pPr>
    </w:lvl>
    <w:lvl w:ilvl="7" w:tentative="0">
      <w:start w:val="1"/>
      <w:numFmt w:val="lowerLetter"/>
      <w:lvlText w:val="%8)"/>
      <w:lvlJc w:val="left"/>
      <w:pPr>
        <w:ind w:left="4020" w:hanging="420"/>
      </w:pPr>
    </w:lvl>
    <w:lvl w:ilvl="8" w:tentative="0">
      <w:start w:val="1"/>
      <w:numFmt w:val="lowerRoman"/>
      <w:lvlText w:val="%9."/>
      <w:lvlJc w:val="right"/>
      <w:pPr>
        <w:ind w:left="4440" w:hanging="420"/>
      </w:pPr>
    </w:lvl>
  </w:abstractNum>
  <w:abstractNum w:abstractNumId="6">
    <w:nsid w:val="420C153B"/>
    <w:multiLevelType w:val="multilevel"/>
    <w:tmpl w:val="420C153B"/>
    <w:lvl w:ilvl="0" w:tentative="0">
      <w:start w:val="1"/>
      <w:numFmt w:val="decimal"/>
      <w:pStyle w:val="7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7">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8">
    <w:nsid w:val="6FBA05F3"/>
    <w:multiLevelType w:val="singleLevel"/>
    <w:tmpl w:val="6FBA05F3"/>
    <w:lvl w:ilvl="0" w:tentative="0">
      <w:start w:val="1"/>
      <w:numFmt w:val="japaneseCounting"/>
      <w:lvlText w:val="第%1章"/>
      <w:lvlJc w:val="left"/>
      <w:pPr>
        <w:tabs>
          <w:tab w:val="left" w:pos="1440"/>
        </w:tabs>
        <w:ind w:left="1440" w:hanging="1440"/>
      </w:pPr>
      <w:rPr>
        <w:rFonts w:hint="eastAsia" w:ascii="黑体" w:eastAsia="黑体"/>
        <w:b w:val="0"/>
        <w:sz w:val="36"/>
      </w:rPr>
    </w:lvl>
  </w:abstractNum>
  <w:num w:numId="1">
    <w:abstractNumId w:val="7"/>
  </w:num>
  <w:num w:numId="2">
    <w:abstractNumId w:val="6"/>
  </w:num>
  <w:num w:numId="3">
    <w:abstractNumId w:val="4"/>
  </w:num>
  <w:num w:numId="4">
    <w:abstractNumId w:val="8"/>
  </w:num>
  <w:num w:numId="5">
    <w:abstractNumId w:val="2"/>
  </w:num>
  <w:num w:numId="6">
    <w:abstractNumId w:val="1"/>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6A4"/>
    <w:rsid w:val="00000F3E"/>
    <w:rsid w:val="000176D7"/>
    <w:rsid w:val="00055587"/>
    <w:rsid w:val="000626AE"/>
    <w:rsid w:val="00081ADC"/>
    <w:rsid w:val="00093196"/>
    <w:rsid w:val="000C1FC5"/>
    <w:rsid w:val="001B070E"/>
    <w:rsid w:val="001D1744"/>
    <w:rsid w:val="001D1A25"/>
    <w:rsid w:val="001F2BC3"/>
    <w:rsid w:val="001F4512"/>
    <w:rsid w:val="00242DF7"/>
    <w:rsid w:val="00267EDE"/>
    <w:rsid w:val="002832C4"/>
    <w:rsid w:val="002C2667"/>
    <w:rsid w:val="002D1341"/>
    <w:rsid w:val="002F2A03"/>
    <w:rsid w:val="002F738E"/>
    <w:rsid w:val="0034675D"/>
    <w:rsid w:val="003741B4"/>
    <w:rsid w:val="003821DC"/>
    <w:rsid w:val="00386A40"/>
    <w:rsid w:val="003D1EF1"/>
    <w:rsid w:val="003E73D5"/>
    <w:rsid w:val="00426B3F"/>
    <w:rsid w:val="00484853"/>
    <w:rsid w:val="004938ED"/>
    <w:rsid w:val="004A76F8"/>
    <w:rsid w:val="004D1811"/>
    <w:rsid w:val="004E66A4"/>
    <w:rsid w:val="005058D7"/>
    <w:rsid w:val="005068B4"/>
    <w:rsid w:val="005133C4"/>
    <w:rsid w:val="00527CC9"/>
    <w:rsid w:val="00556ECB"/>
    <w:rsid w:val="00581218"/>
    <w:rsid w:val="005A2646"/>
    <w:rsid w:val="005B02E5"/>
    <w:rsid w:val="006033E9"/>
    <w:rsid w:val="00612046"/>
    <w:rsid w:val="00624465"/>
    <w:rsid w:val="00631085"/>
    <w:rsid w:val="00693B38"/>
    <w:rsid w:val="00712677"/>
    <w:rsid w:val="00713F5E"/>
    <w:rsid w:val="007178D4"/>
    <w:rsid w:val="007D3C8D"/>
    <w:rsid w:val="008120B5"/>
    <w:rsid w:val="00826576"/>
    <w:rsid w:val="00874B26"/>
    <w:rsid w:val="008A7DD9"/>
    <w:rsid w:val="008E2735"/>
    <w:rsid w:val="008F2617"/>
    <w:rsid w:val="00987C25"/>
    <w:rsid w:val="009C34AA"/>
    <w:rsid w:val="009D76C8"/>
    <w:rsid w:val="009E7E7C"/>
    <w:rsid w:val="009F5A67"/>
    <w:rsid w:val="00A679E9"/>
    <w:rsid w:val="00AE381D"/>
    <w:rsid w:val="00AE7120"/>
    <w:rsid w:val="00B05CA8"/>
    <w:rsid w:val="00BB0FD1"/>
    <w:rsid w:val="00C433C3"/>
    <w:rsid w:val="00C44BB9"/>
    <w:rsid w:val="00C45F13"/>
    <w:rsid w:val="00C4726E"/>
    <w:rsid w:val="00C53882"/>
    <w:rsid w:val="00C642F1"/>
    <w:rsid w:val="00C83616"/>
    <w:rsid w:val="00CE4FB9"/>
    <w:rsid w:val="00CF747F"/>
    <w:rsid w:val="00D059F9"/>
    <w:rsid w:val="00D47EB1"/>
    <w:rsid w:val="00DA3FEB"/>
    <w:rsid w:val="00DB61FC"/>
    <w:rsid w:val="00DC5400"/>
    <w:rsid w:val="00E041A3"/>
    <w:rsid w:val="00E2404F"/>
    <w:rsid w:val="00E52E15"/>
    <w:rsid w:val="00E5515E"/>
    <w:rsid w:val="00E67DBE"/>
    <w:rsid w:val="00E76C53"/>
    <w:rsid w:val="00E7761F"/>
    <w:rsid w:val="00E91CEC"/>
    <w:rsid w:val="00E930C0"/>
    <w:rsid w:val="00E95A54"/>
    <w:rsid w:val="00E977B7"/>
    <w:rsid w:val="00EF14D6"/>
    <w:rsid w:val="00F409D9"/>
    <w:rsid w:val="00F70B0B"/>
    <w:rsid w:val="00F74081"/>
    <w:rsid w:val="00F75C6D"/>
    <w:rsid w:val="04C140A8"/>
    <w:rsid w:val="1095183D"/>
    <w:rsid w:val="211A3DCF"/>
    <w:rsid w:val="26962114"/>
    <w:rsid w:val="29954E3B"/>
    <w:rsid w:val="2F00181E"/>
    <w:rsid w:val="3653754A"/>
    <w:rsid w:val="5247390B"/>
    <w:rsid w:val="53AF0C85"/>
    <w:rsid w:val="55A253E8"/>
    <w:rsid w:val="586E68F1"/>
    <w:rsid w:val="5BF548E4"/>
    <w:rsid w:val="601D612F"/>
    <w:rsid w:val="65BD73F0"/>
    <w:rsid w:val="66175C8B"/>
    <w:rsid w:val="667A0C43"/>
    <w:rsid w:val="6C8D1C9C"/>
    <w:rsid w:val="7D345BC6"/>
    <w:rsid w:val="7DA35146"/>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uiPriority="99" w:name="footnote text"/>
    <w:lsdException w:qFormat="1" w:unhideWhenUsed="0" w:uiPriority="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uiPriority="99" w:name="footnote reference"/>
    <w:lsdException w:qFormat="1" w:unhideWhenUsed="0"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link w:val="51"/>
    <w:qFormat/>
    <w:uiPriority w:val="0"/>
    <w:pPr>
      <w:keepNext/>
      <w:jc w:val="center"/>
      <w:outlineLvl w:val="0"/>
    </w:pPr>
    <w:rPr>
      <w:rFonts w:ascii="楷体_GB2312" w:eastAsia="楷体_GB2312"/>
      <w:sz w:val="28"/>
      <w:szCs w:val="28"/>
    </w:rPr>
  </w:style>
  <w:style w:type="paragraph" w:styleId="3">
    <w:name w:val="heading 2"/>
    <w:basedOn w:val="1"/>
    <w:next w:val="4"/>
    <w:link w:val="52"/>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53"/>
    <w:qFormat/>
    <w:uiPriority w:val="0"/>
    <w:pPr>
      <w:keepNext/>
      <w:keepLines/>
      <w:spacing w:before="260" w:after="260" w:line="416" w:lineRule="auto"/>
      <w:outlineLvl w:val="2"/>
    </w:pPr>
    <w:rPr>
      <w:b/>
      <w:bCs/>
      <w:sz w:val="32"/>
      <w:szCs w:val="32"/>
    </w:rPr>
  </w:style>
  <w:style w:type="paragraph" w:styleId="6">
    <w:name w:val="heading 4"/>
    <w:basedOn w:val="1"/>
    <w:next w:val="4"/>
    <w:link w:val="54"/>
    <w:qFormat/>
    <w:uiPriority w:val="0"/>
    <w:pPr>
      <w:keepNext/>
      <w:keepLines/>
      <w:spacing w:before="280" w:after="290" w:line="376" w:lineRule="auto"/>
      <w:outlineLvl w:val="3"/>
    </w:pPr>
    <w:rPr>
      <w:rFonts w:ascii="Arial" w:hAnsi="Arial" w:eastAsia="黑体" w:cs="Arial"/>
      <w:b/>
      <w:bCs/>
      <w:sz w:val="28"/>
      <w:szCs w:val="28"/>
    </w:rPr>
  </w:style>
  <w:style w:type="paragraph" w:styleId="7">
    <w:name w:val="heading 5"/>
    <w:basedOn w:val="1"/>
    <w:next w:val="4"/>
    <w:link w:val="55"/>
    <w:qFormat/>
    <w:uiPriority w:val="0"/>
    <w:pPr>
      <w:keepNext/>
      <w:autoSpaceDE w:val="0"/>
      <w:autoSpaceDN w:val="0"/>
      <w:adjustRightInd w:val="0"/>
      <w:outlineLvl w:val="4"/>
    </w:pPr>
    <w:rPr>
      <w:rFonts w:ascii="宋体"/>
      <w:color w:val="000000"/>
      <w:kern w:val="0"/>
      <w:sz w:val="28"/>
      <w:szCs w:val="28"/>
    </w:rPr>
  </w:style>
  <w:style w:type="paragraph" w:styleId="8">
    <w:name w:val="heading 6"/>
    <w:basedOn w:val="1"/>
    <w:next w:val="1"/>
    <w:link w:val="56"/>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link w:val="57"/>
    <w:qFormat/>
    <w:uiPriority w:val="0"/>
    <w:pPr>
      <w:keepNext/>
      <w:keepLines/>
      <w:numPr>
        <w:ilvl w:val="6"/>
        <w:numId w:val="1"/>
      </w:numPr>
      <w:spacing w:before="240" w:after="64" w:line="320" w:lineRule="auto"/>
      <w:outlineLvl w:val="6"/>
    </w:pPr>
    <w:rPr>
      <w:b/>
      <w:bCs/>
      <w:sz w:val="24"/>
      <w:szCs w:val="24"/>
    </w:rPr>
  </w:style>
  <w:style w:type="paragraph" w:styleId="10">
    <w:name w:val="heading 8"/>
    <w:basedOn w:val="1"/>
    <w:next w:val="1"/>
    <w:link w:val="58"/>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link w:val="59"/>
    <w:qFormat/>
    <w:uiPriority w:val="0"/>
    <w:pPr>
      <w:keepNext/>
      <w:keepLines/>
      <w:numPr>
        <w:ilvl w:val="8"/>
        <w:numId w:val="1"/>
      </w:numPr>
      <w:spacing w:before="240" w:after="64" w:line="320" w:lineRule="auto"/>
      <w:outlineLvl w:val="8"/>
    </w:pPr>
    <w:rPr>
      <w:rFonts w:ascii="Arial" w:hAnsi="Arial" w:eastAsia="黑体"/>
    </w:rPr>
  </w:style>
  <w:style w:type="character" w:default="1" w:styleId="43">
    <w:name w:val="Default Paragraph Font"/>
    <w:unhideWhenUsed/>
    <w:qFormat/>
    <w:uiPriority w:val="1"/>
  </w:style>
  <w:style w:type="table" w:default="1" w:styleId="49">
    <w:name w:val="Normal Table"/>
    <w:unhideWhenUsed/>
    <w:qFormat/>
    <w:uiPriority w:val="99"/>
    <w:tblPr>
      <w:tblLayout w:type="fixed"/>
      <w:tblCellMar>
        <w:top w:w="0" w:type="dxa"/>
        <w:left w:w="108" w:type="dxa"/>
        <w:bottom w:w="0" w:type="dxa"/>
        <w:right w:w="108" w:type="dxa"/>
      </w:tblCellMar>
    </w:tblPr>
  </w:style>
  <w:style w:type="paragraph" w:styleId="4">
    <w:name w:val="Normal Indent"/>
    <w:basedOn w:val="1"/>
    <w:link w:val="66"/>
    <w:qFormat/>
    <w:uiPriority w:val="0"/>
    <w:pPr>
      <w:ind w:firstLine="420"/>
    </w:pPr>
    <w:rPr>
      <w:rFonts w:asciiTheme="minorHAnsi" w:hAnsiTheme="minorHAnsi" w:eastAsiaTheme="minorEastAsia" w:cstheme="minorBidi"/>
    </w:rPr>
  </w:style>
  <w:style w:type="paragraph" w:styleId="12">
    <w:name w:val="List 3"/>
    <w:basedOn w:val="1"/>
    <w:qFormat/>
    <w:uiPriority w:val="0"/>
    <w:pPr>
      <w:ind w:left="100" w:leftChars="400" w:hanging="200" w:hangingChars="200"/>
    </w:pPr>
  </w:style>
  <w:style w:type="paragraph" w:styleId="13">
    <w:name w:val="annotation subject"/>
    <w:basedOn w:val="14"/>
    <w:next w:val="14"/>
    <w:link w:val="92"/>
    <w:semiHidden/>
    <w:qFormat/>
    <w:uiPriority w:val="0"/>
    <w:rPr>
      <w:b/>
      <w:bCs/>
    </w:rPr>
  </w:style>
  <w:style w:type="paragraph" w:styleId="14">
    <w:name w:val="annotation text"/>
    <w:basedOn w:val="1"/>
    <w:link w:val="74"/>
    <w:semiHidden/>
    <w:qFormat/>
    <w:uiPriority w:val="0"/>
    <w:pPr>
      <w:jc w:val="left"/>
    </w:pPr>
  </w:style>
  <w:style w:type="paragraph" w:styleId="15">
    <w:name w:val="toc 7"/>
    <w:basedOn w:val="1"/>
    <w:next w:val="1"/>
    <w:semiHidden/>
    <w:qFormat/>
    <w:uiPriority w:val="0"/>
    <w:pPr>
      <w:ind w:left="1260"/>
      <w:jc w:val="left"/>
    </w:pPr>
  </w:style>
  <w:style w:type="paragraph" w:styleId="16">
    <w:name w:val="Body Text First Indent"/>
    <w:basedOn w:val="1"/>
    <w:link w:val="73"/>
    <w:qFormat/>
    <w:uiPriority w:val="0"/>
    <w:pPr>
      <w:spacing w:line="360" w:lineRule="auto"/>
      <w:ind w:firstLine="200" w:firstLineChars="200"/>
    </w:pPr>
    <w:rPr>
      <w:rFonts w:ascii="仿宋_GB2312" w:eastAsia="仿宋_GB2312"/>
      <w:sz w:val="30"/>
      <w:szCs w:val="30"/>
    </w:rPr>
  </w:style>
  <w:style w:type="paragraph" w:styleId="17">
    <w:name w:val="Document Map"/>
    <w:basedOn w:val="1"/>
    <w:link w:val="100"/>
    <w:semiHidden/>
    <w:qFormat/>
    <w:uiPriority w:val="0"/>
    <w:pPr>
      <w:shd w:val="clear" w:color="auto" w:fill="000080"/>
    </w:pPr>
  </w:style>
  <w:style w:type="paragraph" w:styleId="18">
    <w:name w:val="Body Text 3"/>
    <w:basedOn w:val="1"/>
    <w:link w:val="103"/>
    <w:qFormat/>
    <w:uiPriority w:val="0"/>
    <w:rPr>
      <w:rFonts w:ascii="仿宋_GB2312" w:hAnsi="Arial" w:eastAsia="仿宋_GB2312"/>
      <w:sz w:val="32"/>
      <w:szCs w:val="32"/>
    </w:rPr>
  </w:style>
  <w:style w:type="paragraph" w:styleId="19">
    <w:name w:val="Body Text"/>
    <w:basedOn w:val="1"/>
    <w:link w:val="72"/>
    <w:unhideWhenUsed/>
    <w:qFormat/>
    <w:uiPriority w:val="0"/>
    <w:pPr>
      <w:spacing w:after="120"/>
    </w:pPr>
  </w:style>
  <w:style w:type="paragraph" w:styleId="20">
    <w:name w:val="Body Text Indent"/>
    <w:basedOn w:val="1"/>
    <w:link w:val="68"/>
    <w:unhideWhenUsed/>
    <w:qFormat/>
    <w:uiPriority w:val="0"/>
    <w:pPr>
      <w:spacing w:after="120"/>
      <w:ind w:left="420" w:leftChars="200"/>
    </w:pPr>
  </w:style>
  <w:style w:type="paragraph" w:styleId="21">
    <w:name w:val="List 2"/>
    <w:basedOn w:val="1"/>
    <w:qFormat/>
    <w:uiPriority w:val="0"/>
    <w:pPr>
      <w:ind w:left="100" w:leftChars="200" w:hanging="200" w:hangingChars="200"/>
    </w:pPr>
  </w:style>
  <w:style w:type="paragraph" w:styleId="22">
    <w:name w:val="toc 5"/>
    <w:basedOn w:val="1"/>
    <w:next w:val="1"/>
    <w:semiHidden/>
    <w:qFormat/>
    <w:uiPriority w:val="0"/>
    <w:pPr>
      <w:ind w:left="840"/>
      <w:jc w:val="left"/>
    </w:pPr>
  </w:style>
  <w:style w:type="paragraph" w:styleId="23">
    <w:name w:val="toc 3"/>
    <w:basedOn w:val="1"/>
    <w:next w:val="1"/>
    <w:semiHidden/>
    <w:qFormat/>
    <w:uiPriority w:val="0"/>
    <w:pPr>
      <w:ind w:left="420"/>
      <w:jc w:val="left"/>
    </w:pPr>
    <w:rPr>
      <w:i/>
      <w:iCs/>
      <w:szCs w:val="24"/>
    </w:rPr>
  </w:style>
  <w:style w:type="paragraph" w:styleId="24">
    <w:name w:val="Plain Text"/>
    <w:basedOn w:val="1"/>
    <w:link w:val="63"/>
    <w:qFormat/>
    <w:uiPriority w:val="0"/>
    <w:rPr>
      <w:rFonts w:ascii="宋体" w:hAnsi="Courier New" w:cs="Courier New" w:eastAsiaTheme="minorEastAsia"/>
    </w:rPr>
  </w:style>
  <w:style w:type="paragraph" w:styleId="25">
    <w:name w:val="toc 8"/>
    <w:basedOn w:val="1"/>
    <w:next w:val="1"/>
    <w:semiHidden/>
    <w:qFormat/>
    <w:uiPriority w:val="0"/>
    <w:pPr>
      <w:ind w:left="1470"/>
      <w:jc w:val="left"/>
    </w:pPr>
  </w:style>
  <w:style w:type="paragraph" w:styleId="26">
    <w:name w:val="Date"/>
    <w:basedOn w:val="1"/>
    <w:next w:val="1"/>
    <w:link w:val="84"/>
    <w:qFormat/>
    <w:uiPriority w:val="0"/>
    <w:rPr>
      <w:sz w:val="24"/>
      <w:szCs w:val="24"/>
    </w:rPr>
  </w:style>
  <w:style w:type="paragraph" w:styleId="27">
    <w:name w:val="Body Text Indent 2"/>
    <w:basedOn w:val="1"/>
    <w:link w:val="101"/>
    <w:qFormat/>
    <w:uiPriority w:val="0"/>
    <w:pPr>
      <w:ind w:left="630" w:firstLine="645"/>
    </w:pPr>
    <w:rPr>
      <w:rFonts w:ascii="Arial" w:hAnsi="Arial" w:eastAsia="仿宋_GB2312" w:cs="Arial"/>
      <w:sz w:val="32"/>
      <w:szCs w:val="32"/>
    </w:rPr>
  </w:style>
  <w:style w:type="paragraph" w:styleId="28">
    <w:name w:val="Balloon Text"/>
    <w:basedOn w:val="1"/>
    <w:link w:val="79"/>
    <w:semiHidden/>
    <w:qFormat/>
    <w:uiPriority w:val="0"/>
    <w:rPr>
      <w:sz w:val="18"/>
      <w:szCs w:val="18"/>
    </w:rPr>
  </w:style>
  <w:style w:type="paragraph" w:styleId="29">
    <w:name w:val="footer"/>
    <w:basedOn w:val="1"/>
    <w:link w:val="83"/>
    <w:qFormat/>
    <w:uiPriority w:val="0"/>
    <w:pPr>
      <w:tabs>
        <w:tab w:val="center" w:pos="4153"/>
        <w:tab w:val="right" w:pos="8306"/>
      </w:tabs>
      <w:snapToGrid w:val="0"/>
      <w:jc w:val="left"/>
    </w:pPr>
    <w:rPr>
      <w:sz w:val="18"/>
      <w:szCs w:val="18"/>
    </w:rPr>
  </w:style>
  <w:style w:type="paragraph" w:styleId="30">
    <w:name w:val="Body Text First Indent 2"/>
    <w:basedOn w:val="20"/>
    <w:link w:val="69"/>
    <w:qFormat/>
    <w:uiPriority w:val="0"/>
    <w:pPr>
      <w:spacing w:after="0" w:line="360" w:lineRule="auto"/>
      <w:ind w:left="0" w:leftChars="0" w:firstLine="420" w:firstLineChars="200"/>
    </w:pPr>
    <w:rPr>
      <w:rFonts w:ascii="宋体" w:hAnsi="宋体"/>
      <w:szCs w:val="20"/>
    </w:rPr>
  </w:style>
  <w:style w:type="paragraph" w:styleId="31">
    <w:name w:val="header"/>
    <w:basedOn w:val="1"/>
    <w:link w:val="75"/>
    <w:qFormat/>
    <w:uiPriority w:val="0"/>
    <w:pPr>
      <w:pBdr>
        <w:bottom w:val="single" w:color="auto" w:sz="6" w:space="1"/>
      </w:pBdr>
      <w:tabs>
        <w:tab w:val="center" w:pos="4153"/>
        <w:tab w:val="right" w:pos="8306"/>
      </w:tabs>
      <w:snapToGrid w:val="0"/>
      <w:jc w:val="center"/>
    </w:pPr>
    <w:rPr>
      <w:sz w:val="18"/>
      <w:szCs w:val="18"/>
    </w:rPr>
  </w:style>
  <w:style w:type="paragraph" w:styleId="32">
    <w:name w:val="toc 1"/>
    <w:basedOn w:val="1"/>
    <w:next w:val="1"/>
    <w:semiHidden/>
    <w:qFormat/>
    <w:uiPriority w:val="0"/>
    <w:pPr>
      <w:tabs>
        <w:tab w:val="right" w:leader="dot" w:pos="8720"/>
      </w:tabs>
      <w:spacing w:before="120" w:after="120" w:line="400" w:lineRule="exact"/>
      <w:jc w:val="left"/>
    </w:pPr>
    <w:rPr>
      <w:rFonts w:ascii="宋体" w:hAnsi="宋体"/>
      <w:caps/>
      <w:sz w:val="24"/>
      <w:szCs w:val="24"/>
    </w:rPr>
  </w:style>
  <w:style w:type="paragraph" w:styleId="33">
    <w:name w:val="toc 4"/>
    <w:basedOn w:val="1"/>
    <w:next w:val="1"/>
    <w:semiHidden/>
    <w:qFormat/>
    <w:uiPriority w:val="0"/>
    <w:pPr>
      <w:ind w:left="630"/>
      <w:jc w:val="left"/>
    </w:pPr>
  </w:style>
  <w:style w:type="paragraph" w:styleId="34">
    <w:name w:val="List"/>
    <w:basedOn w:val="1"/>
    <w:qFormat/>
    <w:uiPriority w:val="0"/>
    <w:pPr>
      <w:ind w:left="200" w:hanging="200" w:hangingChars="200"/>
    </w:pPr>
  </w:style>
  <w:style w:type="paragraph" w:styleId="35">
    <w:name w:val="toc 6"/>
    <w:basedOn w:val="1"/>
    <w:next w:val="1"/>
    <w:semiHidden/>
    <w:qFormat/>
    <w:uiPriority w:val="0"/>
    <w:pPr>
      <w:ind w:left="1050"/>
      <w:jc w:val="left"/>
    </w:pPr>
  </w:style>
  <w:style w:type="paragraph" w:styleId="36">
    <w:name w:val="Body Text Indent 3"/>
    <w:basedOn w:val="1"/>
    <w:link w:val="93"/>
    <w:qFormat/>
    <w:uiPriority w:val="0"/>
    <w:pPr>
      <w:ind w:left="645" w:firstLine="645"/>
    </w:pPr>
    <w:rPr>
      <w:rFonts w:ascii="Arial" w:hAnsi="Arial" w:eastAsia="仿宋_GB2312" w:cs="Arial"/>
      <w:color w:val="FFFF00"/>
      <w:sz w:val="32"/>
      <w:szCs w:val="32"/>
    </w:rPr>
  </w:style>
  <w:style w:type="paragraph" w:styleId="37">
    <w:name w:val="table of figures"/>
    <w:basedOn w:val="1"/>
    <w:next w:val="1"/>
    <w:semiHidden/>
    <w:qFormat/>
    <w:uiPriority w:val="0"/>
    <w:pPr>
      <w:ind w:left="840" w:hanging="420"/>
    </w:pPr>
  </w:style>
  <w:style w:type="paragraph" w:styleId="38">
    <w:name w:val="toc 2"/>
    <w:basedOn w:val="1"/>
    <w:next w:val="1"/>
    <w:semiHidden/>
    <w:qFormat/>
    <w:uiPriority w:val="0"/>
    <w:pPr>
      <w:ind w:left="210"/>
      <w:jc w:val="left"/>
    </w:pPr>
    <w:rPr>
      <w:smallCaps/>
      <w:szCs w:val="24"/>
    </w:rPr>
  </w:style>
  <w:style w:type="paragraph" w:styleId="39">
    <w:name w:val="toc 9"/>
    <w:basedOn w:val="1"/>
    <w:next w:val="1"/>
    <w:semiHidden/>
    <w:qFormat/>
    <w:uiPriority w:val="0"/>
    <w:pPr>
      <w:ind w:left="1680"/>
      <w:jc w:val="left"/>
    </w:pPr>
  </w:style>
  <w:style w:type="paragraph" w:styleId="40">
    <w:name w:val="Body Text 2"/>
    <w:basedOn w:val="1"/>
    <w:link w:val="86"/>
    <w:qFormat/>
    <w:uiPriority w:val="0"/>
    <w:pPr>
      <w:widowControl/>
      <w:jc w:val="center"/>
    </w:pPr>
    <w:rPr>
      <w:rFonts w:ascii="楷体_GB2312" w:eastAsia="楷体_GB2312"/>
      <w:sz w:val="28"/>
      <w:szCs w:val="28"/>
    </w:rPr>
  </w:style>
  <w:style w:type="paragraph" w:styleId="4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42">
    <w:name w:val="index 1"/>
    <w:basedOn w:val="1"/>
    <w:next w:val="1"/>
    <w:semiHidden/>
    <w:qFormat/>
    <w:uiPriority w:val="0"/>
    <w:pPr>
      <w:spacing w:line="240" w:lineRule="atLeast"/>
    </w:pPr>
    <w:rPr>
      <w:b/>
      <w:bCs/>
    </w:rPr>
  </w:style>
  <w:style w:type="character" w:styleId="44">
    <w:name w:val="Strong"/>
    <w:qFormat/>
    <w:uiPriority w:val="0"/>
    <w:rPr>
      <w:b/>
      <w:bCs/>
    </w:rPr>
  </w:style>
  <w:style w:type="character" w:styleId="45">
    <w:name w:val="page number"/>
    <w:basedOn w:val="43"/>
    <w:qFormat/>
    <w:uiPriority w:val="0"/>
  </w:style>
  <w:style w:type="character" w:styleId="46">
    <w:name w:val="FollowedHyperlink"/>
    <w:qFormat/>
    <w:uiPriority w:val="0"/>
    <w:rPr>
      <w:color w:val="800080"/>
      <w:u w:val="single"/>
    </w:rPr>
  </w:style>
  <w:style w:type="character" w:styleId="47">
    <w:name w:val="Hyperlink"/>
    <w:qFormat/>
    <w:uiPriority w:val="0"/>
    <w:rPr>
      <w:color w:val="0000FF"/>
      <w:u w:val="single"/>
    </w:rPr>
  </w:style>
  <w:style w:type="character" w:styleId="48">
    <w:name w:val="annotation reference"/>
    <w:semiHidden/>
    <w:qFormat/>
    <w:uiPriority w:val="0"/>
    <w:rPr>
      <w:sz w:val="21"/>
      <w:szCs w:val="21"/>
    </w:rPr>
  </w:style>
  <w:style w:type="table" w:styleId="50">
    <w:name w:val="Table Grid"/>
    <w:basedOn w:val="49"/>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51">
    <w:name w:val="标题 1 Char"/>
    <w:basedOn w:val="43"/>
    <w:link w:val="2"/>
    <w:qFormat/>
    <w:uiPriority w:val="0"/>
    <w:rPr>
      <w:rFonts w:ascii="楷体_GB2312" w:hAnsi="Calibri" w:eastAsia="楷体_GB2312" w:cs="Times New Roman"/>
      <w:sz w:val="28"/>
      <w:szCs w:val="28"/>
    </w:rPr>
  </w:style>
  <w:style w:type="character" w:customStyle="1" w:styleId="52">
    <w:name w:val="标题 2 Char"/>
    <w:basedOn w:val="43"/>
    <w:link w:val="3"/>
    <w:qFormat/>
    <w:uiPriority w:val="0"/>
    <w:rPr>
      <w:rFonts w:ascii="Arial" w:hAnsi="Arial" w:eastAsia="幼圆" w:cs="Arial"/>
      <w:b/>
      <w:bCs/>
      <w:sz w:val="44"/>
      <w:szCs w:val="44"/>
    </w:rPr>
  </w:style>
  <w:style w:type="character" w:customStyle="1" w:styleId="53">
    <w:name w:val="标题 3 Char"/>
    <w:basedOn w:val="43"/>
    <w:link w:val="5"/>
    <w:qFormat/>
    <w:uiPriority w:val="0"/>
    <w:rPr>
      <w:rFonts w:ascii="Calibri" w:hAnsi="Calibri" w:eastAsia="宋体" w:cs="Times New Roman"/>
      <w:b/>
      <w:bCs/>
      <w:sz w:val="32"/>
      <w:szCs w:val="32"/>
    </w:rPr>
  </w:style>
  <w:style w:type="character" w:customStyle="1" w:styleId="54">
    <w:name w:val="标题 4 Char"/>
    <w:basedOn w:val="43"/>
    <w:link w:val="6"/>
    <w:qFormat/>
    <w:uiPriority w:val="0"/>
    <w:rPr>
      <w:rFonts w:ascii="Arial" w:hAnsi="Arial" w:eastAsia="黑体" w:cs="Arial"/>
      <w:b/>
      <w:bCs/>
      <w:sz w:val="28"/>
      <w:szCs w:val="28"/>
    </w:rPr>
  </w:style>
  <w:style w:type="character" w:customStyle="1" w:styleId="55">
    <w:name w:val="标题 5 Char"/>
    <w:basedOn w:val="43"/>
    <w:link w:val="7"/>
    <w:qFormat/>
    <w:uiPriority w:val="0"/>
    <w:rPr>
      <w:rFonts w:ascii="宋体" w:hAnsi="Calibri" w:eastAsia="宋体" w:cs="Times New Roman"/>
      <w:color w:val="000000"/>
      <w:kern w:val="0"/>
      <w:sz w:val="28"/>
      <w:szCs w:val="28"/>
    </w:rPr>
  </w:style>
  <w:style w:type="character" w:customStyle="1" w:styleId="56">
    <w:name w:val="标题 6 Char"/>
    <w:basedOn w:val="43"/>
    <w:link w:val="8"/>
    <w:qFormat/>
    <w:uiPriority w:val="0"/>
    <w:rPr>
      <w:rFonts w:ascii="Arial" w:hAnsi="Arial" w:eastAsia="黑体" w:cs="Times New Roman"/>
      <w:b/>
      <w:bCs/>
      <w:sz w:val="24"/>
      <w:szCs w:val="24"/>
    </w:rPr>
  </w:style>
  <w:style w:type="character" w:customStyle="1" w:styleId="57">
    <w:name w:val="标题 7 Char"/>
    <w:basedOn w:val="43"/>
    <w:link w:val="9"/>
    <w:qFormat/>
    <w:uiPriority w:val="0"/>
    <w:rPr>
      <w:rFonts w:ascii="Calibri" w:hAnsi="Calibri" w:eastAsia="宋体" w:cs="Times New Roman"/>
      <w:b/>
      <w:bCs/>
      <w:sz w:val="24"/>
      <w:szCs w:val="24"/>
    </w:rPr>
  </w:style>
  <w:style w:type="character" w:customStyle="1" w:styleId="58">
    <w:name w:val="标题 8 Char"/>
    <w:basedOn w:val="43"/>
    <w:link w:val="10"/>
    <w:qFormat/>
    <w:uiPriority w:val="0"/>
    <w:rPr>
      <w:rFonts w:ascii="Arial" w:hAnsi="Arial" w:eastAsia="黑体" w:cs="Times New Roman"/>
      <w:sz w:val="24"/>
      <w:szCs w:val="24"/>
    </w:rPr>
  </w:style>
  <w:style w:type="character" w:customStyle="1" w:styleId="59">
    <w:name w:val="标题 9 Char"/>
    <w:basedOn w:val="43"/>
    <w:link w:val="11"/>
    <w:qFormat/>
    <w:uiPriority w:val="0"/>
    <w:rPr>
      <w:rFonts w:ascii="Arial" w:hAnsi="Arial" w:eastAsia="黑体" w:cs="Times New Roman"/>
      <w:szCs w:val="21"/>
    </w:rPr>
  </w:style>
  <w:style w:type="character" w:customStyle="1" w:styleId="60">
    <w:name w:val="font5 Char"/>
    <w:qFormat/>
    <w:uiPriority w:val="0"/>
    <w:rPr>
      <w:rFonts w:ascii="宋体" w:hAnsi="宋体" w:eastAsia="宋体"/>
      <w:sz w:val="28"/>
      <w:szCs w:val="28"/>
      <w:lang w:val="en-US" w:eastAsia="zh-CN" w:bidi="ar-SA"/>
    </w:rPr>
  </w:style>
  <w:style w:type="character" w:customStyle="1" w:styleId="61">
    <w:name w:val="二级目录 Char"/>
    <w:link w:val="62"/>
    <w:qFormat/>
    <w:uiPriority w:val="0"/>
    <w:rPr>
      <w:b/>
      <w:kern w:val="2"/>
      <w:sz w:val="30"/>
      <w:szCs w:val="28"/>
    </w:rPr>
  </w:style>
  <w:style w:type="paragraph" w:customStyle="1" w:styleId="62">
    <w:name w:val="二级目录"/>
    <w:next w:val="1"/>
    <w:link w:val="61"/>
    <w:qFormat/>
    <w:uiPriority w:val="0"/>
    <w:pPr>
      <w:tabs>
        <w:tab w:val="left" w:pos="907"/>
        <w:tab w:val="left" w:pos="1145"/>
      </w:tabs>
      <w:ind w:left="907" w:hanging="907"/>
      <w:outlineLvl w:val="1"/>
    </w:pPr>
    <w:rPr>
      <w:rFonts w:asciiTheme="minorHAnsi" w:hAnsiTheme="minorHAnsi" w:eastAsiaTheme="minorEastAsia" w:cstheme="minorBidi"/>
      <w:b/>
      <w:kern w:val="2"/>
      <w:sz w:val="30"/>
      <w:szCs w:val="28"/>
      <w:lang w:val="en-US" w:eastAsia="zh-CN" w:bidi="ar-SA"/>
    </w:rPr>
  </w:style>
  <w:style w:type="character" w:customStyle="1" w:styleId="63">
    <w:name w:val="纯文本 Char"/>
    <w:link w:val="24"/>
    <w:qFormat/>
    <w:uiPriority w:val="0"/>
    <w:rPr>
      <w:rFonts w:ascii="宋体" w:hAnsi="Courier New" w:cs="Courier New"/>
      <w:szCs w:val="21"/>
    </w:rPr>
  </w:style>
  <w:style w:type="character" w:customStyle="1" w:styleId="64">
    <w:name w:val="列出段落 Char"/>
    <w:link w:val="65"/>
    <w:qFormat/>
    <w:locked/>
    <w:uiPriority w:val="0"/>
    <w:rPr>
      <w:rFonts w:ascii="Calibri" w:hAnsi="Calibri"/>
      <w:sz w:val="24"/>
      <w:szCs w:val="24"/>
      <w:lang w:eastAsia="en-US" w:bidi="en-US"/>
    </w:rPr>
  </w:style>
  <w:style w:type="paragraph" w:customStyle="1" w:styleId="65">
    <w:name w:val="列出段落1"/>
    <w:basedOn w:val="1"/>
    <w:link w:val="64"/>
    <w:qFormat/>
    <w:uiPriority w:val="0"/>
    <w:pPr>
      <w:widowControl/>
      <w:ind w:left="720"/>
      <w:contextualSpacing/>
      <w:jc w:val="left"/>
    </w:pPr>
    <w:rPr>
      <w:rFonts w:eastAsiaTheme="minorEastAsia" w:cstheme="minorBidi"/>
      <w:sz w:val="24"/>
      <w:szCs w:val="24"/>
      <w:lang w:eastAsia="en-US" w:bidi="en-US"/>
    </w:rPr>
  </w:style>
  <w:style w:type="character" w:customStyle="1" w:styleId="66">
    <w:name w:val="正文缩进 Char"/>
    <w:link w:val="4"/>
    <w:qFormat/>
    <w:uiPriority w:val="0"/>
    <w:rPr>
      <w:szCs w:val="21"/>
    </w:rPr>
  </w:style>
  <w:style w:type="character" w:customStyle="1" w:styleId="67">
    <w:name w:val="正文文本 Char"/>
    <w:qFormat/>
    <w:uiPriority w:val="0"/>
    <w:rPr>
      <w:rFonts w:ascii="楷体_GB2312" w:hAnsi="Arial" w:eastAsia="楷体_GB2312"/>
      <w:kern w:val="2"/>
      <w:sz w:val="28"/>
      <w:szCs w:val="28"/>
    </w:rPr>
  </w:style>
  <w:style w:type="character" w:customStyle="1" w:styleId="68">
    <w:name w:val="正文文本缩进 Char"/>
    <w:basedOn w:val="43"/>
    <w:link w:val="20"/>
    <w:semiHidden/>
    <w:qFormat/>
    <w:uiPriority w:val="99"/>
    <w:rPr>
      <w:rFonts w:ascii="Calibri" w:hAnsi="Calibri" w:eastAsia="宋体" w:cs="Times New Roman"/>
      <w:szCs w:val="21"/>
    </w:rPr>
  </w:style>
  <w:style w:type="character" w:customStyle="1" w:styleId="69">
    <w:name w:val="正文首行缩进 2 Char"/>
    <w:basedOn w:val="68"/>
    <w:link w:val="30"/>
    <w:qFormat/>
    <w:uiPriority w:val="0"/>
    <w:rPr>
      <w:rFonts w:ascii="宋体" w:hAnsi="宋体" w:eastAsia="宋体" w:cs="Times New Roman"/>
      <w:szCs w:val="20"/>
    </w:rPr>
  </w:style>
  <w:style w:type="paragraph" w:customStyle="1" w:styleId="70">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71">
    <w:name w:val="样式1"/>
    <w:basedOn w:val="1"/>
    <w:qFormat/>
    <w:uiPriority w:val="0"/>
    <w:pPr>
      <w:numPr>
        <w:ilvl w:val="0"/>
        <w:numId w:val="2"/>
      </w:numPr>
      <w:adjustRightInd w:val="0"/>
      <w:textAlignment w:val="baseline"/>
    </w:pPr>
    <w:rPr>
      <w:rFonts w:ascii="宋体" w:hAnsi="宋体"/>
      <w:kern w:val="0"/>
    </w:rPr>
  </w:style>
  <w:style w:type="character" w:customStyle="1" w:styleId="72">
    <w:name w:val="正文文本 Char1"/>
    <w:basedOn w:val="43"/>
    <w:link w:val="19"/>
    <w:semiHidden/>
    <w:qFormat/>
    <w:uiPriority w:val="99"/>
    <w:rPr>
      <w:rFonts w:ascii="Calibri" w:hAnsi="Calibri" w:eastAsia="宋体" w:cs="Times New Roman"/>
      <w:szCs w:val="21"/>
    </w:rPr>
  </w:style>
  <w:style w:type="character" w:customStyle="1" w:styleId="73">
    <w:name w:val="正文首行缩进 Char"/>
    <w:basedOn w:val="72"/>
    <w:link w:val="16"/>
    <w:qFormat/>
    <w:uiPriority w:val="0"/>
    <w:rPr>
      <w:rFonts w:ascii="仿宋_GB2312" w:hAnsi="Calibri" w:eastAsia="仿宋_GB2312" w:cs="Times New Roman"/>
      <w:sz w:val="30"/>
      <w:szCs w:val="30"/>
    </w:rPr>
  </w:style>
  <w:style w:type="character" w:customStyle="1" w:styleId="74">
    <w:name w:val="批注文字 Char"/>
    <w:basedOn w:val="43"/>
    <w:link w:val="14"/>
    <w:semiHidden/>
    <w:qFormat/>
    <w:uiPriority w:val="0"/>
    <w:rPr>
      <w:rFonts w:ascii="Calibri" w:hAnsi="Calibri" w:eastAsia="宋体" w:cs="Times New Roman"/>
      <w:szCs w:val="21"/>
    </w:rPr>
  </w:style>
  <w:style w:type="character" w:customStyle="1" w:styleId="75">
    <w:name w:val="页眉 Char"/>
    <w:basedOn w:val="43"/>
    <w:link w:val="31"/>
    <w:qFormat/>
    <w:uiPriority w:val="0"/>
    <w:rPr>
      <w:rFonts w:ascii="Calibri" w:hAnsi="Calibri" w:eastAsia="宋体" w:cs="Times New Roman"/>
      <w:sz w:val="18"/>
      <w:szCs w:val="18"/>
    </w:rPr>
  </w:style>
  <w:style w:type="paragraph" w:customStyle="1" w:styleId="76">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77">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8">
    <w:name w:val="Char Char Char Char"/>
    <w:basedOn w:val="17"/>
    <w:qFormat/>
    <w:uiPriority w:val="0"/>
    <w:pPr>
      <w:adjustRightInd w:val="0"/>
      <w:snapToGrid w:val="0"/>
      <w:spacing w:line="360" w:lineRule="auto"/>
    </w:pPr>
    <w:rPr>
      <w:rFonts w:ascii="Tahoma" w:hAnsi="Tahoma"/>
      <w:sz w:val="24"/>
      <w:szCs w:val="24"/>
    </w:rPr>
  </w:style>
  <w:style w:type="character" w:customStyle="1" w:styleId="79">
    <w:name w:val="批注框文本 Char"/>
    <w:basedOn w:val="43"/>
    <w:link w:val="28"/>
    <w:semiHidden/>
    <w:qFormat/>
    <w:uiPriority w:val="0"/>
    <w:rPr>
      <w:rFonts w:ascii="Calibri" w:hAnsi="Calibri" w:eastAsia="宋体" w:cs="Times New Roman"/>
      <w:sz w:val="18"/>
      <w:szCs w:val="18"/>
    </w:rPr>
  </w:style>
  <w:style w:type="paragraph" w:customStyle="1" w:styleId="80">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81">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82">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character" w:customStyle="1" w:styleId="83">
    <w:name w:val="页脚 Char"/>
    <w:basedOn w:val="43"/>
    <w:link w:val="29"/>
    <w:qFormat/>
    <w:uiPriority w:val="0"/>
    <w:rPr>
      <w:rFonts w:ascii="Calibri" w:hAnsi="Calibri" w:eastAsia="宋体" w:cs="Times New Roman"/>
      <w:sz w:val="18"/>
      <w:szCs w:val="18"/>
    </w:rPr>
  </w:style>
  <w:style w:type="character" w:customStyle="1" w:styleId="84">
    <w:name w:val="日期 Char"/>
    <w:basedOn w:val="43"/>
    <w:link w:val="26"/>
    <w:qFormat/>
    <w:uiPriority w:val="0"/>
    <w:rPr>
      <w:rFonts w:ascii="Calibri" w:hAnsi="Calibri" w:eastAsia="宋体" w:cs="Times New Roman"/>
      <w:sz w:val="24"/>
      <w:szCs w:val="24"/>
    </w:rPr>
  </w:style>
  <w:style w:type="paragraph" w:customStyle="1" w:styleId="85">
    <w:name w:val="附录1"/>
    <w:qFormat/>
    <w:uiPriority w:val="0"/>
    <w:pPr>
      <w:numPr>
        <w:ilvl w:val="0"/>
        <w:numId w:val="3"/>
      </w:numPr>
      <w:snapToGrid w:val="0"/>
      <w:spacing w:before="240" w:line="600" w:lineRule="atLeast"/>
    </w:pPr>
    <w:rPr>
      <w:rFonts w:ascii="Calibri" w:hAnsi="Calibri" w:eastAsia="宋体" w:cs="Times New Roman"/>
      <w:b/>
      <w:i/>
      <w:sz w:val="28"/>
      <w:lang w:val="en-US" w:eastAsia="zh-CN" w:bidi="ar-SA"/>
    </w:rPr>
  </w:style>
  <w:style w:type="character" w:customStyle="1" w:styleId="86">
    <w:name w:val="正文文本 2 Char"/>
    <w:basedOn w:val="43"/>
    <w:link w:val="40"/>
    <w:qFormat/>
    <w:uiPriority w:val="0"/>
    <w:rPr>
      <w:rFonts w:ascii="楷体_GB2312" w:hAnsi="Calibri" w:eastAsia="楷体_GB2312" w:cs="Times New Roman"/>
      <w:sz w:val="28"/>
      <w:szCs w:val="28"/>
    </w:rPr>
  </w:style>
  <w:style w:type="paragraph" w:customStyle="1" w:styleId="87">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8">
    <w:name w:val="Char Char Char Char Char Char Char Char Char Char"/>
    <w:basedOn w:val="1"/>
    <w:qFormat/>
    <w:uiPriority w:val="0"/>
    <w:pPr>
      <w:adjustRightInd w:val="0"/>
      <w:spacing w:line="360" w:lineRule="auto"/>
    </w:pPr>
    <w:rPr>
      <w:kern w:val="0"/>
      <w:sz w:val="24"/>
      <w:szCs w:val="20"/>
    </w:rPr>
  </w:style>
  <w:style w:type="paragraph" w:customStyle="1" w:styleId="89">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90">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91">
    <w:name w:val="4"/>
    <w:basedOn w:val="1"/>
    <w:next w:val="36"/>
    <w:qFormat/>
    <w:uiPriority w:val="0"/>
    <w:pPr>
      <w:spacing w:line="360" w:lineRule="auto"/>
      <w:ind w:firstLine="420"/>
    </w:pPr>
    <w:rPr>
      <w:color w:val="FF0000"/>
      <w:sz w:val="24"/>
      <w:szCs w:val="24"/>
    </w:rPr>
  </w:style>
  <w:style w:type="character" w:customStyle="1" w:styleId="92">
    <w:name w:val="批注主题 Char"/>
    <w:basedOn w:val="74"/>
    <w:link w:val="13"/>
    <w:semiHidden/>
    <w:qFormat/>
    <w:uiPriority w:val="0"/>
    <w:rPr>
      <w:rFonts w:ascii="Calibri" w:hAnsi="Calibri" w:eastAsia="宋体" w:cs="Times New Roman"/>
      <w:b/>
      <w:bCs/>
      <w:szCs w:val="21"/>
    </w:rPr>
  </w:style>
  <w:style w:type="character" w:customStyle="1" w:styleId="93">
    <w:name w:val="正文文本缩进 3 Char"/>
    <w:basedOn w:val="43"/>
    <w:link w:val="36"/>
    <w:qFormat/>
    <w:uiPriority w:val="0"/>
    <w:rPr>
      <w:rFonts w:ascii="Arial" w:hAnsi="Arial" w:eastAsia="仿宋_GB2312" w:cs="Arial"/>
      <w:color w:val="FFFF00"/>
      <w:sz w:val="32"/>
      <w:szCs w:val="32"/>
    </w:rPr>
  </w:style>
  <w:style w:type="paragraph" w:customStyle="1" w:styleId="94">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character" w:customStyle="1" w:styleId="95">
    <w:name w:val="纯文本 Char1"/>
    <w:basedOn w:val="43"/>
    <w:semiHidden/>
    <w:qFormat/>
    <w:uiPriority w:val="99"/>
    <w:rPr>
      <w:rFonts w:ascii="宋体" w:hAnsi="Courier New" w:eastAsia="宋体" w:cs="Courier New"/>
      <w:szCs w:val="21"/>
    </w:rPr>
  </w:style>
  <w:style w:type="paragraph" w:customStyle="1" w:styleId="96">
    <w:name w:val="列出段落2"/>
    <w:basedOn w:val="1"/>
    <w:qFormat/>
    <w:uiPriority w:val="0"/>
    <w:pPr>
      <w:widowControl/>
      <w:ind w:left="720"/>
      <w:contextualSpacing/>
      <w:jc w:val="left"/>
    </w:pPr>
    <w:rPr>
      <w:kern w:val="0"/>
      <w:sz w:val="24"/>
      <w:szCs w:val="24"/>
      <w:lang w:eastAsia="en-US" w:bidi="en-US"/>
    </w:rPr>
  </w:style>
  <w:style w:type="paragraph" w:customStyle="1" w:styleId="97">
    <w:name w:val="table_lines"/>
    <w:basedOn w:val="1"/>
    <w:qFormat/>
    <w:uiPriority w:val="0"/>
    <w:pPr>
      <w:widowControl/>
      <w:jc w:val="left"/>
    </w:pPr>
    <w:rPr>
      <w:kern w:val="0"/>
      <w:sz w:val="20"/>
      <w:szCs w:val="20"/>
      <w:lang w:val="de-DE" w:eastAsia="de-DE"/>
    </w:rPr>
  </w:style>
  <w:style w:type="paragraph" w:customStyle="1" w:styleId="98">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99">
    <w:name w:val="font5"/>
    <w:basedOn w:val="1"/>
    <w:qFormat/>
    <w:uiPriority w:val="0"/>
    <w:pPr>
      <w:widowControl/>
      <w:spacing w:before="100" w:beforeAutospacing="1" w:after="100" w:afterAutospacing="1"/>
      <w:jc w:val="left"/>
    </w:pPr>
    <w:rPr>
      <w:rFonts w:hint="eastAsia" w:ascii="宋体" w:hAnsi="宋体"/>
      <w:kern w:val="0"/>
      <w:sz w:val="28"/>
      <w:szCs w:val="28"/>
    </w:rPr>
  </w:style>
  <w:style w:type="character" w:customStyle="1" w:styleId="100">
    <w:name w:val="文档结构图 Char"/>
    <w:basedOn w:val="43"/>
    <w:link w:val="17"/>
    <w:semiHidden/>
    <w:qFormat/>
    <w:uiPriority w:val="0"/>
    <w:rPr>
      <w:rFonts w:ascii="Calibri" w:hAnsi="Calibri" w:eastAsia="宋体" w:cs="Times New Roman"/>
      <w:szCs w:val="21"/>
      <w:shd w:val="clear" w:color="auto" w:fill="000080"/>
    </w:rPr>
  </w:style>
  <w:style w:type="character" w:customStyle="1" w:styleId="101">
    <w:name w:val="正文文本缩进 2 Char"/>
    <w:basedOn w:val="43"/>
    <w:link w:val="27"/>
    <w:qFormat/>
    <w:uiPriority w:val="0"/>
    <w:rPr>
      <w:rFonts w:ascii="Arial" w:hAnsi="Arial" w:eastAsia="仿宋_GB2312" w:cs="Arial"/>
      <w:sz w:val="32"/>
      <w:szCs w:val="32"/>
    </w:rPr>
  </w:style>
  <w:style w:type="paragraph" w:customStyle="1" w:styleId="102">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character" w:customStyle="1" w:styleId="103">
    <w:name w:val="正文文本 3 Char"/>
    <w:basedOn w:val="43"/>
    <w:link w:val="18"/>
    <w:qFormat/>
    <w:uiPriority w:val="0"/>
    <w:rPr>
      <w:rFonts w:ascii="仿宋_GB2312" w:hAnsi="Arial" w:eastAsia="仿宋_GB2312" w:cs="Times New Roman"/>
      <w:sz w:val="32"/>
      <w:szCs w:val="32"/>
    </w:rPr>
  </w:style>
  <w:style w:type="paragraph" w:customStyle="1" w:styleId="104">
    <w:name w:val="Char"/>
    <w:basedOn w:val="17"/>
    <w:qFormat/>
    <w:uiPriority w:val="0"/>
    <w:rPr>
      <w:rFonts w:ascii="Tahoma" w:hAnsi="Tahoma"/>
      <w:sz w:val="24"/>
      <w:szCs w:val="24"/>
    </w:rPr>
  </w:style>
  <w:style w:type="paragraph" w:customStyle="1" w:styleId="105">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106">
    <w:name w:val="表头文本"/>
    <w:basedOn w:val="1"/>
    <w:qFormat/>
    <w:uiPriority w:val="0"/>
    <w:pPr>
      <w:autoSpaceDE w:val="0"/>
      <w:autoSpaceDN w:val="0"/>
      <w:adjustRightInd w:val="0"/>
      <w:jc w:val="center"/>
    </w:pPr>
    <w:rPr>
      <w:b/>
      <w:kern w:val="0"/>
      <w:sz w:val="24"/>
      <w:szCs w:val="20"/>
    </w:rPr>
  </w:style>
  <w:style w:type="paragraph" w:customStyle="1" w:styleId="107">
    <w:name w:val="table_1stline"/>
    <w:basedOn w:val="1"/>
    <w:qFormat/>
    <w:uiPriority w:val="0"/>
    <w:pPr>
      <w:widowControl/>
      <w:spacing w:before="120"/>
      <w:jc w:val="left"/>
    </w:pPr>
    <w:rPr>
      <w:bCs/>
      <w:kern w:val="0"/>
      <w:sz w:val="20"/>
      <w:szCs w:val="20"/>
      <w:lang w:val="de-DE" w:eastAsia="de-DE"/>
    </w:rPr>
  </w:style>
  <w:style w:type="paragraph" w:customStyle="1" w:styleId="108">
    <w:name w:val="Body Text(ch)"/>
    <w:basedOn w:val="1"/>
    <w:next w:val="19"/>
    <w:qFormat/>
    <w:uiPriority w:val="0"/>
    <w:pPr>
      <w:spacing w:after="120"/>
    </w:pPr>
    <w:rPr>
      <w:rFonts w:ascii="宋体" w:hAnsi="Arial"/>
      <w:bCs/>
      <w:iCs/>
      <w:szCs w:val="24"/>
    </w:rPr>
  </w:style>
  <w:style w:type="paragraph" w:customStyle="1" w:styleId="109">
    <w:name w:val="Char Char Char Char1"/>
    <w:basedOn w:val="17"/>
    <w:qFormat/>
    <w:uiPriority w:val="0"/>
    <w:pPr>
      <w:adjustRightInd w:val="0"/>
      <w:snapToGrid w:val="0"/>
      <w:spacing w:line="360" w:lineRule="auto"/>
    </w:pPr>
    <w:rPr>
      <w:rFonts w:ascii="Tahoma" w:hAnsi="Tahoma"/>
      <w:sz w:val="24"/>
      <w:szCs w:val="24"/>
    </w:rPr>
  </w:style>
  <w:style w:type="paragraph" w:customStyle="1" w:styleId="110">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111">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112">
    <w:name w:val="Char Char 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113">
    <w:name w:val="Char1"/>
    <w:basedOn w:val="1"/>
    <w:qFormat/>
    <w:uiPriority w:val="0"/>
    <w:pPr>
      <w:tabs>
        <w:tab w:val="left" w:pos="360"/>
      </w:tabs>
      <w:ind w:firstLine="200" w:firstLineChars="200"/>
    </w:pPr>
    <w:rPr>
      <w:sz w:val="28"/>
      <w:szCs w:val="3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21DA9C-2961-491C-BC64-6BCDD50F84C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1735</Words>
  <Characters>9896</Characters>
  <Lines>82</Lines>
  <Paragraphs>23</Paragraphs>
  <ScaleCrop>false</ScaleCrop>
  <LinksUpToDate>false</LinksUpToDate>
  <CharactersWithSpaces>11608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2021-11-10T02:51:00Z</dcterms:created>
  <dc:creator>李明姬</dc:creator>
  <cp:lastModifiedBy>shxsh</cp:lastModifiedBy>
  <cp:lastPrinted>2021-11-02T02:40:00Z</cp:lastPrinted>
  <dcterms:modified xsi:type="dcterms:W3CDTF">2021-11-15T05:47:35Z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