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jc w:val="center"/>
        <w:textAlignment w:val="auto"/>
        <w:outlineLvl w:val="9"/>
        <w:rPr>
          <w:rFonts w:hint="eastAsia" w:ascii="方正小标宋_GBK" w:hAnsi="方正小标宋_GBK" w:eastAsia="方正小标宋_GBK" w:cs="方正小标宋_GBK"/>
          <w:sz w:val="44"/>
          <w:szCs w:val="44"/>
          <w:lang w:val="en-US" w:eastAsia="zh-CN"/>
        </w:rPr>
      </w:pP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jc w:val="center"/>
        <w:textAlignment w:val="auto"/>
        <w:outlineLvl w:val="9"/>
        <w:rPr>
          <w:rFonts w:hint="eastAsia" w:ascii="方正小标宋_GBK" w:hAnsi="方正小标宋_GBK" w:eastAsia="方正小标宋_GBK" w:cs="方正小标宋_GBK"/>
          <w:sz w:val="44"/>
          <w:szCs w:val="44"/>
          <w:lang w:val="en-US" w:eastAsia="zh-CN"/>
        </w:rPr>
      </w:pP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jc w:val="center"/>
        <w:textAlignment w:val="auto"/>
        <w:outlineLvl w:val="9"/>
        <w:rPr>
          <w:rFonts w:hint="eastAsia" w:ascii="方正小标宋_GBK" w:hAnsi="方正小标宋_GBK" w:eastAsia="方正小标宋_GBK" w:cs="方正小标宋_GBK"/>
          <w:sz w:val="44"/>
          <w:szCs w:val="44"/>
          <w:lang w:val="en-US" w:eastAsia="zh-CN"/>
        </w:rPr>
      </w:pP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jc w:val="center"/>
        <w:textAlignment w:val="auto"/>
        <w:outlineLvl w:val="9"/>
        <w:rPr>
          <w:rFonts w:hint="eastAsia" w:ascii="方正小标宋_GBK" w:hAnsi="方正小标宋_GBK" w:eastAsia="方正小标宋_GBK" w:cs="方正小标宋_GBK"/>
          <w:sz w:val="44"/>
          <w:szCs w:val="44"/>
          <w:lang w:val="en-US" w:eastAsia="zh-CN"/>
        </w:rPr>
      </w:pPr>
    </w:p>
    <w:p>
      <w:pPr>
        <w:pStyle w:val="2"/>
        <w:keepNext w:val="0"/>
        <w:keepLines w:val="0"/>
        <w:pageBreakBefore w:val="0"/>
        <w:kinsoku/>
        <w:topLinePunct w:val="0"/>
        <w:autoSpaceDE/>
        <w:autoSpaceDN/>
        <w:bidi w:val="0"/>
        <w:adjustRightInd/>
        <w:spacing w:before="0" w:after="0" w:line="590" w:lineRule="exact"/>
        <w:ind w:left="0" w:leftChars="0" w:right="0" w:rightChars="0"/>
        <w:textAlignment w:val="auto"/>
        <w:rPr>
          <w:rFonts w:hint="eastAsia"/>
          <w:lang w:val="en-US" w:eastAsia="zh-CN"/>
        </w:rPr>
      </w:pP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jc w:val="center"/>
        <w:textAlignment w:val="auto"/>
        <w:outlineLvl w:val="9"/>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关于印发《2026年度全省公共机构绿色低碳</w:t>
      </w: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jc w:val="center"/>
        <w:textAlignment w:val="auto"/>
        <w:outlineLvl w:val="9"/>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引领行动目标任务》的通知</w:t>
      </w:r>
    </w:p>
    <w:p>
      <w:pPr>
        <w:pStyle w:val="5"/>
        <w:keepNext w:val="0"/>
        <w:keepLines w:val="0"/>
        <w:pageBreakBefore w:val="0"/>
        <w:widowControl w:val="0"/>
        <w:kinsoku/>
        <w:wordWrap/>
        <w:topLinePunct w:val="0"/>
        <w:autoSpaceDE/>
        <w:autoSpaceDN/>
        <w:bidi w:val="0"/>
        <w:adjustRightInd/>
        <w:snapToGrid/>
        <w:spacing w:before="0" w:after="0" w:line="590" w:lineRule="exact"/>
        <w:ind w:left="0" w:leftChars="0" w:right="0" w:rightChars="0"/>
        <w:textAlignment w:val="auto"/>
        <w:rPr>
          <w:rFonts w:hint="eastAsia" w:ascii="方正仿宋_GBK" w:hAnsi="方正仿宋_GBK" w:eastAsia="方正仿宋_GBK" w:cs="方正仿宋_GBK"/>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90" w:lineRule="exact"/>
        <w:ind w:left="0" w:leftChars="0" w:right="0" w:rightChars="0"/>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各设区市机关事务管理局、发展改革委、教育局、卫生健康委、体育局</w:t>
      </w:r>
      <w:r>
        <w:rPr>
          <w:rFonts w:hint="eastAsia" w:ascii="方正仿宋_GBK" w:hAnsi="方正仿宋_GBK" w:eastAsia="方正仿宋_GBK" w:cs="方正仿宋_GBK"/>
          <w:b w:val="0"/>
          <w:bCs w:val="0"/>
          <w:kern w:val="2"/>
          <w:sz w:val="32"/>
          <w:szCs w:val="32"/>
          <w:lang w:val="en-US" w:eastAsia="zh-CN" w:bidi="ar-SA"/>
        </w:rPr>
        <w:t>，省级机关各单位，各省属高校、省属医疗卫生机构：</w:t>
      </w:r>
    </w:p>
    <w:p>
      <w:pPr>
        <w:keepNext w:val="0"/>
        <w:keepLines w:val="0"/>
        <w:pageBreakBefore w:val="0"/>
        <w:widowControl w:val="0"/>
        <w:kinsoku/>
        <w:wordWrap/>
        <w:overflowPunct/>
        <w:topLinePunct w:val="0"/>
        <w:autoSpaceDE/>
        <w:autoSpaceDN/>
        <w:bidi w:val="0"/>
        <w:adjustRightInd/>
        <w:snapToGrid/>
        <w:spacing w:line="590" w:lineRule="exact"/>
        <w:ind w:left="0" w:leftChars="0" w:right="0" w:rightChars="0" w:firstLine="640"/>
        <w:jc w:val="left"/>
        <w:textAlignment w:val="auto"/>
        <w:outlineLvl w:val="9"/>
        <w:rPr>
          <w:rFonts w:hint="eastAsia" w:ascii="方正仿宋_GBK" w:hAnsi="方正仿宋_GBK" w:eastAsia="方正仿宋_GBK" w:cs="方正仿宋_GBK"/>
          <w:b w:val="0"/>
          <w:bCs w:val="0"/>
          <w:kern w:val="2"/>
          <w:sz w:val="32"/>
          <w:szCs w:val="32"/>
          <w:lang w:val="en-US" w:eastAsia="zh-CN" w:bidi="ar-SA"/>
        </w:rPr>
      </w:pPr>
      <w:r>
        <w:rPr>
          <w:rFonts w:hint="eastAsia" w:ascii="方正仿宋_GBK" w:hAnsi="方正仿宋_GBK" w:eastAsia="方正仿宋_GBK" w:cs="方正仿宋_GBK"/>
          <w:b w:val="0"/>
          <w:bCs w:val="0"/>
          <w:kern w:val="2"/>
          <w:sz w:val="32"/>
          <w:szCs w:val="32"/>
          <w:lang w:val="en-US" w:eastAsia="zh-CN" w:bidi="ar-SA"/>
        </w:rPr>
        <w:t>为深入贯彻习近平生态文明思想，持续推进全省公共机构绿色低碳转型发展，根据《省委办公厅 省政府办公厅关于印发深入开展公共机构绿色低碳引领行动实施方案的通知》（苏办厅字〔2022〕46号）、《国管局关于2026年公共机构节约能源资源工作安排的通知》（国管节能〔2026〕28号）相关要求，现将《2026年度全省公共机构绿色低碳引领行动目标任务》印发你们，请结合实际抓好贯彻落实。</w:t>
      </w:r>
    </w:p>
    <w:p>
      <w:pPr>
        <w:pStyle w:val="5"/>
        <w:keepNext w:val="0"/>
        <w:keepLines w:val="0"/>
        <w:pageBreakBefore w:val="0"/>
        <w:widowControl w:val="0"/>
        <w:kinsoku/>
        <w:overflowPunct/>
        <w:topLinePunct w:val="0"/>
        <w:autoSpaceDE/>
        <w:autoSpaceDN/>
        <w:bidi w:val="0"/>
        <w:adjustRightInd/>
        <w:snapToGrid/>
        <w:spacing w:before="0" w:after="0" w:line="590" w:lineRule="exact"/>
        <w:ind w:left="0" w:leftChars="0" w:right="0" w:rightChars="0"/>
        <w:textAlignment w:val="auto"/>
        <w:rPr>
          <w:rFonts w:hint="eastAsia"/>
          <w:lang w:val="en-US" w:eastAsia="zh-CN"/>
        </w:rPr>
      </w:pPr>
    </w:p>
    <w:p>
      <w:pPr>
        <w:keepNext w:val="0"/>
        <w:keepLines w:val="0"/>
        <w:pageBreakBefore w:val="0"/>
        <w:widowControl w:val="0"/>
        <w:kinsoku/>
        <w:wordWrap w:val="0"/>
        <w:overflowPunct/>
        <w:topLinePunct w:val="0"/>
        <w:autoSpaceDE/>
        <w:autoSpaceDN/>
        <w:bidi w:val="0"/>
        <w:adjustRightInd/>
        <w:snapToGrid/>
        <w:spacing w:line="590" w:lineRule="exact"/>
        <w:ind w:left="0" w:leftChars="0" w:right="0" w:rightChars="0"/>
        <w:jc w:val="right"/>
        <w:textAlignment w:val="auto"/>
        <w:outlineLvl w:val="9"/>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 xml:space="preserve">江苏省机关事务管理局  江苏省发展和改革委员会     </w:t>
      </w:r>
    </w:p>
    <w:p>
      <w:pPr>
        <w:keepNext w:val="0"/>
        <w:keepLines w:val="0"/>
        <w:pageBreakBefore w:val="0"/>
        <w:widowControl w:val="0"/>
        <w:kinsoku/>
        <w:wordWrap/>
        <w:overflowPunct/>
        <w:topLinePunct w:val="0"/>
        <w:autoSpaceDE/>
        <w:autoSpaceDN/>
        <w:bidi w:val="0"/>
        <w:adjustRightInd/>
        <w:snapToGrid/>
        <w:spacing w:line="590" w:lineRule="exact"/>
        <w:ind w:left="0" w:leftChars="0" w:right="0" w:rightChars="0"/>
        <w:jc w:val="left"/>
        <w:textAlignment w:val="auto"/>
        <w:outlineLvl w:val="9"/>
        <w:rPr>
          <w:rFonts w:hint="default"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 xml:space="preserve">     江苏省教育厅  江苏省卫生健康委员会  江苏省体育局</w:t>
      </w:r>
    </w:p>
    <w:p>
      <w:pPr>
        <w:keepNext w:val="0"/>
        <w:keepLines w:val="0"/>
        <w:pageBreakBefore w:val="0"/>
        <w:widowControl w:val="0"/>
        <w:kinsoku/>
        <w:wordWrap w:val="0"/>
        <w:overflowPunct/>
        <w:topLinePunct w:val="0"/>
        <w:autoSpaceDE/>
        <w:autoSpaceDN/>
        <w:bidi w:val="0"/>
        <w:adjustRightInd/>
        <w:snapToGrid/>
        <w:spacing w:line="590" w:lineRule="exact"/>
        <w:ind w:left="0" w:leftChars="0" w:right="0" w:rightChars="0"/>
        <w:jc w:val="center"/>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 xml:space="preserve">                            2026年3月  日      </w:t>
      </w:r>
    </w:p>
    <w:p>
      <w:pPr>
        <w:pStyle w:val="2"/>
        <w:keepNext w:val="0"/>
        <w:keepLines w:val="0"/>
        <w:pageBreakBefore w:val="0"/>
        <w:kinsoku/>
        <w:topLinePunct w:val="0"/>
        <w:autoSpaceDE/>
        <w:autoSpaceDN/>
        <w:bidi w:val="0"/>
        <w:adjustRightInd/>
        <w:spacing w:before="0" w:after="0" w:line="590" w:lineRule="exact"/>
        <w:ind w:left="0" w:leftChars="0" w:right="0" w:rightChars="0"/>
        <w:textAlignment w:val="auto"/>
        <w:rPr>
          <w:rFonts w:hint="eastAsia" w:ascii="方正小标宋_GBK" w:hAnsi="方正小标宋_GBK" w:eastAsia="方正小标宋_GBK" w:cs="方正小标宋_GBK"/>
          <w:sz w:val="44"/>
          <w:szCs w:val="44"/>
          <w:lang w:val="en-US" w:eastAsia="zh-CN"/>
        </w:rPr>
      </w:pP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jc w:val="center"/>
        <w:textAlignment w:val="auto"/>
        <w:outlineLvl w:val="9"/>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2026年度全省公共机构</w:t>
      </w: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jc w:val="center"/>
        <w:textAlignment w:val="auto"/>
        <w:outlineLvl w:val="9"/>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绿色低碳引领行动目标任务</w:t>
      </w: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jc w:val="both"/>
        <w:textAlignment w:val="auto"/>
        <w:outlineLvl w:val="9"/>
        <w:rPr>
          <w:rFonts w:hint="eastAsia" w:ascii="方正仿宋_GBK" w:hAnsi="方正仿宋_GBK" w:eastAsia="方正仿宋_GBK" w:cs="方正仿宋_GBK"/>
          <w:sz w:val="32"/>
          <w:szCs w:val="32"/>
          <w:lang w:val="en-US" w:eastAsia="zh-CN"/>
        </w:rPr>
      </w:pP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firstLine="640"/>
        <w:jc w:val="both"/>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2026年是“十五五”规划开局之年。全省公共机构要全面贯彻习近平生态文明思想，认真落实党中央、国务院和省委、省政府各项决策部署，立足服务经济社会发展大局，以碳达峰目标为牵引，以编制和宣贯五年规划为主线，注重上下衔接和探索创新，扎实推进公共机构能源资源节约和生态环境保护工作高质量发展走在全国前列，努力为美丽江苏建设作出新的贡献。</w:t>
      </w:r>
    </w:p>
    <w:p>
      <w:pPr>
        <w:keepNext w:val="0"/>
        <w:keepLines w:val="0"/>
        <w:pageBreakBefore w:val="0"/>
        <w:widowControl/>
        <w:suppressLineNumbers w:val="0"/>
        <w:kinsoku/>
        <w:topLinePunct w:val="0"/>
        <w:autoSpaceDE/>
        <w:autoSpaceDN/>
        <w:bidi w:val="0"/>
        <w:adjustRightInd/>
        <w:spacing w:line="590" w:lineRule="exact"/>
        <w:ind w:left="0" w:leftChars="0" w:right="0" w:rightChars="0" w:firstLine="640" w:firstLineChars="200"/>
        <w:jc w:val="left"/>
        <w:textAlignment w:val="auto"/>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lang w:val="en-US" w:eastAsia="zh-CN"/>
        </w:rPr>
        <w:t>一、</w:t>
      </w:r>
      <w:r>
        <w:rPr>
          <w:rFonts w:hint="eastAsia" w:ascii="方正黑体_GBK" w:hAnsi="方正黑体_GBK" w:eastAsia="方正黑体_GBK" w:cs="方正黑体_GBK"/>
          <w:sz w:val="32"/>
          <w:szCs w:val="32"/>
        </w:rPr>
        <w:t>强化顶层设计与制度保障。</w:t>
      </w:r>
      <w:r>
        <w:rPr>
          <w:rFonts w:hint="eastAsia" w:ascii="方正仿宋_GBK" w:hAnsi="方正仿宋_GBK" w:eastAsia="方正仿宋_GBK" w:cs="方正仿宋_GBK"/>
          <w:sz w:val="32"/>
          <w:szCs w:val="32"/>
          <w:lang w:val="en-US" w:eastAsia="zh-CN"/>
        </w:rPr>
        <w:t>编制宣贯</w:t>
      </w:r>
      <w:r>
        <w:rPr>
          <w:rFonts w:hint="eastAsia" w:ascii="方正仿宋_GBK" w:hAnsi="方正仿宋_GBK" w:eastAsia="方正仿宋_GBK" w:cs="方正仿宋_GBK"/>
          <w:sz w:val="32"/>
          <w:szCs w:val="32"/>
        </w:rPr>
        <w:t>《江苏省公共机构节约能源资源“十五五”规划》</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highlight w:val="none"/>
          <w:lang w:val="en-US" w:eastAsia="zh-CN"/>
        </w:rPr>
        <w:t>分解下达各设区市公共机构碳排放控制指标以及配套评估细则，配合完成“十四五”公共机构节约能源资源工作考核。根据上位法修订进度，推进《江苏省公共机构节能管理办法》修订工作。出台《公共机构建筑能耗监控系统技术导</w:t>
      </w:r>
      <w:r>
        <w:rPr>
          <w:rFonts w:hint="eastAsia" w:ascii="方正仿宋_GBK" w:hAnsi="方正仿宋_GBK" w:eastAsia="方正仿宋_GBK" w:cs="方正仿宋_GBK"/>
          <w:sz w:val="32"/>
          <w:szCs w:val="32"/>
        </w:rPr>
        <w:t>则》长三角区域统一地方标准</w:t>
      </w:r>
      <w:r>
        <w:rPr>
          <w:rFonts w:hint="eastAsia" w:ascii="方正仿宋_GBK" w:hAnsi="方正仿宋_GBK" w:eastAsia="方正仿宋_GBK" w:cs="方正仿宋_GBK"/>
          <w:sz w:val="32"/>
          <w:szCs w:val="32"/>
          <w:lang w:eastAsia="zh-CN"/>
        </w:rPr>
        <w:t>，推动《公共机构大型活动温室气体排放核算与碳中和实施指南》等碳普惠相关方法学申报省地方标准，</w:t>
      </w:r>
      <w:r>
        <w:rPr>
          <w:rFonts w:hint="eastAsia" w:ascii="方正仿宋_GBK" w:hAnsi="方正仿宋_GBK" w:eastAsia="方正仿宋_GBK" w:cs="方正仿宋_GBK"/>
          <w:sz w:val="32"/>
          <w:szCs w:val="32"/>
        </w:rPr>
        <w:t>宣</w:t>
      </w:r>
      <w:r>
        <w:rPr>
          <w:rFonts w:hint="eastAsia" w:ascii="方正仿宋_GBK" w:hAnsi="方正仿宋_GBK" w:eastAsia="方正仿宋_GBK" w:cs="方正仿宋_GBK"/>
          <w:sz w:val="32"/>
          <w:szCs w:val="32"/>
          <w:lang w:val="en-US" w:eastAsia="zh-CN"/>
        </w:rPr>
        <w:t>贯落实《公共机构日常节能管理规程》</w:t>
      </w:r>
      <w:r>
        <w:rPr>
          <w:rFonts w:hint="eastAsia" w:ascii="方正仿宋_GBK" w:hAnsi="方正仿宋_GBK" w:eastAsia="方正仿宋_GBK" w:cs="方正仿宋_GBK"/>
          <w:sz w:val="32"/>
          <w:szCs w:val="32"/>
        </w:rPr>
        <w:t>《公共机构能耗定额及计算方法》</w:t>
      </w:r>
      <w:r>
        <w:rPr>
          <w:rFonts w:hint="eastAsia" w:ascii="方正仿宋_GBK" w:hAnsi="方正仿宋_GBK" w:eastAsia="方正仿宋_GBK" w:cs="方正仿宋_GBK"/>
          <w:sz w:val="32"/>
          <w:szCs w:val="32"/>
          <w:lang w:val="en-US" w:eastAsia="zh-CN"/>
        </w:rPr>
        <w:t>等近年出台的省地方</w:t>
      </w:r>
      <w:r>
        <w:rPr>
          <w:rFonts w:hint="eastAsia" w:ascii="方正仿宋_GBK" w:hAnsi="方正仿宋_GBK" w:eastAsia="方正仿宋_GBK" w:cs="方正仿宋_GBK"/>
          <w:sz w:val="32"/>
          <w:szCs w:val="32"/>
        </w:rPr>
        <w:t>标准。</w:t>
      </w: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firstLine="640"/>
        <w:jc w:val="both"/>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方正黑体_GBK" w:hAnsi="方正黑体_GBK" w:eastAsia="方正黑体_GBK" w:cs="方正黑体_GBK"/>
          <w:sz w:val="32"/>
          <w:szCs w:val="32"/>
          <w:lang w:val="en-US" w:eastAsia="zh-CN"/>
        </w:rPr>
        <w:t>二、推进公共机构碳普惠活动。</w:t>
      </w:r>
      <w:r>
        <w:rPr>
          <w:rFonts w:hint="eastAsia" w:ascii="Times New Roman" w:hAnsi="Times New Roman" w:eastAsia="方正仿宋_GBK" w:cs="Times New Roman"/>
          <w:color w:val="auto"/>
          <w:sz w:val="32"/>
          <w:szCs w:val="32"/>
          <w:highlight w:val="none"/>
          <w:lang w:val="en-US" w:eastAsia="zh-CN"/>
        </w:rPr>
        <w:t>有序接入分布式光伏、节能改造、林业碳汇等减碳项目，组织核查机构培训并做好减碳量核查工作。鼓励各地区主动开发接入特色低碳场景，构建精神与物质相结合的荣誉激励机制，丰富兑换权益选项，实现谁减碳谁受益。以中和2026年江苏城市足球联赛等大型活动为牵引，探索推进减碳量交易，带动相关产业发展，服务经济社会发展大局。</w:t>
      </w: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firstLine="640"/>
        <w:jc w:val="both"/>
        <w:textAlignment w:val="auto"/>
        <w:outlineLvl w:val="9"/>
        <w:rPr>
          <w:rFonts w:hint="default"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三、扩大市场化机制运用规模。</w:t>
      </w:r>
      <w:r>
        <w:rPr>
          <w:rFonts w:hint="eastAsia" w:ascii="方正仿宋_GBK" w:hAnsi="方正仿宋_GBK" w:eastAsia="方正仿宋_GBK" w:cs="方正仿宋_GBK"/>
          <w:sz w:val="32"/>
          <w:szCs w:val="32"/>
          <w:highlight w:val="none"/>
          <w:lang w:val="en-US" w:eastAsia="zh-CN"/>
        </w:rPr>
        <w:t>推动宜兴市等3个第一批整区能源费用托管试点地区全面完成试点工作；指导无锡市滨湖区等第二批试点地区完成节能管控平台建设，有序推进节能技术改造；启动南京市秦淮区等24个县（市、区）</w:t>
      </w:r>
      <w:r>
        <w:rPr>
          <w:rFonts w:hint="eastAsia" w:ascii="方正仿宋_GBK" w:hAnsi="方正仿宋_GBK" w:eastAsia="方正仿宋_GBK" w:cs="方正仿宋_GBK"/>
          <w:sz w:val="32"/>
          <w:szCs w:val="32"/>
          <w:highlight w:val="none"/>
        </w:rPr>
        <w:t>整区能源费用托管</w:t>
      </w:r>
      <w:r>
        <w:rPr>
          <w:rFonts w:hint="eastAsia" w:ascii="方正仿宋_GBK" w:hAnsi="方正仿宋_GBK" w:eastAsia="方正仿宋_GBK" w:cs="方正仿宋_GBK"/>
          <w:sz w:val="32"/>
          <w:szCs w:val="32"/>
          <w:highlight w:val="none"/>
          <w:lang w:val="en-US" w:eastAsia="zh-CN"/>
        </w:rPr>
        <w:t>，完成招标前各项准备（具体地区详见附件2）</w:t>
      </w:r>
      <w:r>
        <w:rPr>
          <w:rFonts w:hint="eastAsia" w:ascii="方正仿宋_GBK" w:hAnsi="方正仿宋_GBK" w:eastAsia="方正仿宋_GBK" w:cs="方正仿宋_GBK"/>
          <w:sz w:val="32"/>
          <w:szCs w:val="32"/>
          <w:highlight w:val="none"/>
          <w:lang w:eastAsia="zh-CN"/>
        </w:rPr>
        <w:t>；</w:t>
      </w:r>
      <w:r>
        <w:rPr>
          <w:rFonts w:hint="eastAsia" w:ascii="方正仿宋_GBK" w:hAnsi="方正仿宋_GBK" w:eastAsia="方正仿宋_GBK" w:cs="方正仿宋_GBK"/>
          <w:sz w:val="32"/>
          <w:szCs w:val="32"/>
          <w:highlight w:val="none"/>
          <w:lang w:val="en-US" w:eastAsia="zh-CN"/>
        </w:rPr>
        <w:t>系统总结试点工作经验，加强推广指导，鼓励同步探索</w:t>
      </w:r>
      <w:r>
        <w:rPr>
          <w:rFonts w:hint="eastAsia" w:ascii="方正仿宋_GBK" w:hAnsi="方正仿宋_GBK" w:eastAsia="方正仿宋_GBK" w:cs="方正仿宋_GBK"/>
          <w:sz w:val="32"/>
          <w:szCs w:val="32"/>
          <w:lang w:val="en-US" w:eastAsia="zh-CN"/>
        </w:rPr>
        <w:t>虚拟电厂建设</w:t>
      </w:r>
      <w:r>
        <w:rPr>
          <w:rFonts w:hint="eastAsia" w:ascii="方正仿宋_GBK" w:hAnsi="方正仿宋_GBK" w:eastAsia="方正仿宋_GBK" w:cs="方正仿宋_GBK"/>
          <w:sz w:val="32"/>
          <w:szCs w:val="32"/>
          <w:highlight w:val="none"/>
          <w:lang w:val="en-US" w:eastAsia="zh-CN"/>
        </w:rPr>
        <w:t>。推动</w:t>
      </w:r>
      <w:r>
        <w:rPr>
          <w:rFonts w:hint="eastAsia" w:ascii="方正仿宋_GBK" w:hAnsi="方正仿宋_GBK" w:eastAsia="方正仿宋_GBK" w:cs="方正仿宋_GBK"/>
          <w:sz w:val="32"/>
          <w:szCs w:val="32"/>
          <w:highlight w:val="none"/>
        </w:rPr>
        <w:t>有条件但</w:t>
      </w:r>
      <w:r>
        <w:rPr>
          <w:rFonts w:hint="eastAsia" w:ascii="方正仿宋_GBK" w:hAnsi="方正仿宋_GBK" w:eastAsia="方正仿宋_GBK" w:cs="方正仿宋_GBK"/>
          <w:sz w:val="32"/>
          <w:szCs w:val="32"/>
          <w:highlight w:val="none"/>
          <w:lang w:eastAsia="zh-CN"/>
        </w:rPr>
        <w:t>尚</w:t>
      </w:r>
      <w:r>
        <w:rPr>
          <w:rFonts w:hint="eastAsia" w:ascii="方正仿宋_GBK" w:hAnsi="方正仿宋_GBK" w:eastAsia="方正仿宋_GBK" w:cs="方正仿宋_GBK"/>
          <w:sz w:val="32"/>
          <w:szCs w:val="32"/>
          <w:highlight w:val="none"/>
        </w:rPr>
        <w:t>未实施合同能源管理的县级以上行政中心项目</w:t>
      </w:r>
      <w:r>
        <w:rPr>
          <w:rFonts w:hint="eastAsia" w:ascii="方正仿宋_GBK" w:hAnsi="方正仿宋_GBK" w:eastAsia="方正仿宋_GBK" w:cs="方正仿宋_GBK"/>
          <w:sz w:val="32"/>
          <w:szCs w:val="32"/>
          <w:highlight w:val="none"/>
          <w:lang w:val="en-US" w:eastAsia="zh-CN"/>
        </w:rPr>
        <w:t>加快推进项目落地</w:t>
      </w:r>
      <w:r>
        <w:rPr>
          <w:rFonts w:hint="eastAsia" w:ascii="方正仿宋_GBK" w:hAnsi="方正仿宋_GBK" w:eastAsia="方正仿宋_GBK" w:cs="方正仿宋_GBK"/>
          <w:sz w:val="32"/>
          <w:szCs w:val="32"/>
          <w:highlight w:val="none"/>
        </w:rPr>
        <w:t>，进一步提高覆盖率。</w:t>
      </w:r>
      <w:r>
        <w:rPr>
          <w:rFonts w:hint="eastAsia" w:ascii="方正仿宋_GBK" w:hAnsi="方正仿宋_GBK" w:eastAsia="方正仿宋_GBK" w:cs="方正仿宋_GBK"/>
          <w:sz w:val="32"/>
          <w:szCs w:val="32"/>
          <w:highlight w:val="none"/>
          <w:lang w:val="en-US" w:eastAsia="zh-CN"/>
        </w:rPr>
        <w:t>深入推进高校、医院、场馆等重点用能单位实施合同能源管理、合同节水管理，年度新增项目数量不少于5个。</w:t>
      </w: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firstLine="640"/>
        <w:jc w:val="both"/>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方正黑体_GBK" w:hAnsi="方正黑体_GBK" w:eastAsia="方正黑体_GBK" w:cs="方正黑体_GBK"/>
          <w:color w:val="auto"/>
          <w:sz w:val="32"/>
          <w:szCs w:val="32"/>
          <w:highlight w:val="none"/>
          <w:lang w:val="en-US" w:eastAsia="zh-CN"/>
        </w:rPr>
        <w:t>四、加强数据治理和分析应用。</w:t>
      </w:r>
      <w:r>
        <w:rPr>
          <w:rFonts w:hint="eastAsia" w:ascii="方正仿宋_GBK" w:hAnsi="方正仿宋_GBK" w:eastAsia="方正仿宋_GBK" w:cs="方正仿宋_GBK"/>
          <w:color w:val="auto"/>
          <w:sz w:val="32"/>
          <w:szCs w:val="32"/>
          <w:highlight w:val="none"/>
          <w:lang w:val="en-US" w:eastAsia="zh-CN"/>
        </w:rPr>
        <w:t>落实习惯“过紧日子”要求，以驻宁省级机关和南京市级机关集中办公区为试点，</w:t>
      </w:r>
      <w:r>
        <w:rPr>
          <w:rFonts w:hint="eastAsia" w:ascii="Times New Roman" w:hAnsi="Times New Roman" w:eastAsia="方正仿宋_GBK" w:cs="Times New Roman"/>
          <w:color w:val="auto"/>
          <w:sz w:val="32"/>
          <w:szCs w:val="32"/>
          <w:highlight w:val="none"/>
          <w:lang w:val="en-US" w:eastAsia="zh-CN"/>
        </w:rPr>
        <w:t>探索建立公共机构夜间等非工作时段电、水异常数据预警监测机制，视情向全省推广，杜绝“跑、冒、滴、漏”现象。</w:t>
      </w:r>
      <w:r>
        <w:rPr>
          <w:rFonts w:hint="eastAsia" w:ascii="方正仿宋_GBK" w:hAnsi="方正仿宋_GBK" w:eastAsia="方正仿宋_GBK" w:cs="方正仿宋_GBK"/>
          <w:sz w:val="32"/>
          <w:szCs w:val="32"/>
          <w:lang w:val="en-US" w:eastAsia="zh-CN"/>
        </w:rPr>
        <w:t>适配《公共机构碳排放核算指南》机关事务行业标准以及修订后的能耗定额省地方标准，推动省公共机构节能管理平台功能迭代，提高主要能源资源数据自动抓取质量。</w:t>
      </w:r>
      <w:r>
        <w:rPr>
          <w:rFonts w:hint="eastAsia" w:ascii="Times New Roman" w:hAnsi="Times New Roman" w:eastAsia="方正仿宋_GBK" w:cs="Times New Roman"/>
          <w:color w:val="auto"/>
          <w:sz w:val="32"/>
          <w:szCs w:val="32"/>
          <w:highlight w:val="none"/>
          <w:lang w:val="en-US" w:eastAsia="zh-CN"/>
        </w:rPr>
        <w:t>完成2025年度暨“十四五”全省公共机构能源资源消费数据统计工作，按规定推动</w:t>
      </w:r>
      <w:r>
        <w:rPr>
          <w:rFonts w:hint="eastAsia" w:ascii="Times New Roman" w:hAnsi="Times New Roman" w:eastAsia="方正仿宋_GBK"/>
          <w:color w:val="auto"/>
          <w:sz w:val="32"/>
          <w:szCs w:val="32"/>
          <w:highlight w:val="none"/>
        </w:rPr>
        <w:t>能耗总量较大</w:t>
      </w:r>
      <w:r>
        <w:rPr>
          <w:rFonts w:hint="eastAsia" w:ascii="Times New Roman" w:hAnsi="Times New Roman" w:eastAsia="方正仿宋_GBK"/>
          <w:color w:val="auto"/>
          <w:sz w:val="32"/>
          <w:szCs w:val="32"/>
          <w:highlight w:val="none"/>
          <w:lang w:val="en-US" w:eastAsia="zh-CN"/>
        </w:rPr>
        <w:t>或同比</w:t>
      </w:r>
      <w:r>
        <w:rPr>
          <w:rFonts w:hint="eastAsia" w:ascii="Times New Roman" w:hAnsi="Times New Roman" w:eastAsia="方正仿宋_GBK"/>
          <w:color w:val="auto"/>
          <w:sz w:val="32"/>
          <w:szCs w:val="32"/>
          <w:highlight w:val="none"/>
        </w:rPr>
        <w:t>显著上升</w:t>
      </w:r>
      <w:r>
        <w:rPr>
          <w:rFonts w:hint="eastAsia" w:ascii="Times New Roman" w:hAnsi="Times New Roman" w:eastAsia="方正仿宋_GBK"/>
          <w:color w:val="auto"/>
          <w:sz w:val="32"/>
          <w:szCs w:val="32"/>
          <w:highlight w:val="none"/>
          <w:lang w:eastAsia="zh-CN"/>
        </w:rPr>
        <w:t>、</w:t>
      </w:r>
      <w:r>
        <w:rPr>
          <w:rFonts w:hint="eastAsia" w:ascii="Times New Roman" w:hAnsi="Times New Roman" w:eastAsia="方正仿宋_GBK"/>
          <w:color w:val="auto"/>
          <w:sz w:val="32"/>
          <w:szCs w:val="32"/>
          <w:highlight w:val="none"/>
          <w:lang w:val="en-US" w:eastAsia="zh-CN"/>
        </w:rPr>
        <w:t>计划</w:t>
      </w:r>
      <w:r>
        <w:rPr>
          <w:rFonts w:hint="eastAsia" w:ascii="Times New Roman" w:hAnsi="Times New Roman" w:eastAsia="方正仿宋_GBK"/>
          <w:color w:val="auto"/>
          <w:sz w:val="32"/>
          <w:szCs w:val="32"/>
          <w:highlight w:val="none"/>
        </w:rPr>
        <w:t>实施节能改造或合同能源管理</w:t>
      </w:r>
      <w:r>
        <w:rPr>
          <w:rFonts w:hint="eastAsia" w:ascii="Times New Roman" w:hAnsi="Times New Roman" w:eastAsia="方正仿宋_GBK"/>
          <w:color w:val="auto"/>
          <w:sz w:val="32"/>
          <w:szCs w:val="32"/>
          <w:highlight w:val="none"/>
          <w:lang w:val="en-US" w:eastAsia="zh-CN"/>
        </w:rPr>
        <w:t>等单位开展能源审计</w:t>
      </w:r>
      <w:r>
        <w:rPr>
          <w:rFonts w:hint="eastAsia" w:ascii="Times New Roman" w:hAnsi="Times New Roman" w:eastAsia="方正仿宋_GBK" w:cs="Times New Roman"/>
          <w:color w:val="auto"/>
          <w:sz w:val="32"/>
          <w:szCs w:val="32"/>
          <w:highlight w:val="none"/>
          <w:lang w:val="en-US" w:eastAsia="zh-CN"/>
        </w:rPr>
        <w:t>。继续施行能耗定额管理，发挥定额标准对公共机构提升能源利用效率的引导约束作用。</w:t>
      </w: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firstLine="640"/>
        <w:jc w:val="both"/>
        <w:textAlignment w:val="auto"/>
        <w:outlineLvl w:val="9"/>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lang w:val="en-US" w:eastAsia="zh-CN"/>
        </w:rPr>
        <w:t>五、推动既有建筑节能降碳改造。</w:t>
      </w:r>
      <w:r>
        <w:rPr>
          <w:rFonts w:hint="eastAsia" w:ascii="方正仿宋_GBK" w:hAnsi="方正仿宋_GBK" w:eastAsia="方正仿宋_GBK" w:cs="方正仿宋_GBK"/>
          <w:sz w:val="32"/>
          <w:szCs w:val="32"/>
          <w:highlight w:val="none"/>
          <w:lang w:val="en-US" w:eastAsia="zh-CN"/>
        </w:rPr>
        <w:t>用实用好“两新”政策，协调有关部门加大公共机构节约能源资源领域财政性资金稳定投入力度，</w:t>
      </w:r>
      <w:r>
        <w:rPr>
          <w:rFonts w:hint="eastAsia" w:ascii="方正仿宋_GBK" w:hAnsi="方正仿宋_GBK" w:eastAsia="方正仿宋_GBK" w:cs="方正仿宋_GBK"/>
          <w:sz w:val="32"/>
          <w:szCs w:val="32"/>
          <w:lang w:val="en-US" w:eastAsia="zh-CN"/>
        </w:rPr>
        <w:t>持续开展空调、电梯、数据中心等重点用能部位和设施设备节能降碳改造，年度新增改造面积不小于200万平方米。</w:t>
      </w:r>
      <w:r>
        <w:rPr>
          <w:rFonts w:hint="eastAsia" w:ascii="方正仿宋_GBK" w:hAnsi="方正仿宋_GBK" w:eastAsia="方正仿宋_GBK" w:cs="方正仿宋_GBK"/>
          <w:sz w:val="32"/>
          <w:szCs w:val="32"/>
          <w:highlight w:val="none"/>
          <w:lang w:val="en-US" w:eastAsia="zh-CN"/>
        </w:rPr>
        <w:t>鼓励按照《公共机构电动汽车</w:t>
      </w:r>
      <w:bookmarkStart w:id="0" w:name="_GoBack"/>
      <w:bookmarkEnd w:id="0"/>
      <w:r>
        <w:rPr>
          <w:rFonts w:hint="eastAsia" w:ascii="方正仿宋_GBK" w:hAnsi="方正仿宋_GBK" w:eastAsia="方正仿宋_GBK" w:cs="方正仿宋_GBK"/>
          <w:sz w:val="32"/>
          <w:szCs w:val="32"/>
          <w:highlight w:val="none"/>
          <w:lang w:val="en-US" w:eastAsia="zh-CN"/>
        </w:rPr>
        <w:t>充电基础设施配置及运行指南》机关事务行业标准，规范设备配置、运行管理和安全管理。规范建设</w:t>
      </w:r>
      <w:r>
        <w:rPr>
          <w:rFonts w:hint="eastAsia" w:ascii="方正仿宋_GBK" w:hAnsi="方正仿宋_GBK" w:eastAsia="方正仿宋_GBK" w:cs="方正仿宋_GBK"/>
          <w:sz w:val="32"/>
          <w:szCs w:val="32"/>
          <w:lang w:val="en-US" w:eastAsia="zh-CN"/>
        </w:rPr>
        <w:t>公共机构建筑能耗监控平台，探索人工智能融合运用，优化重点用能设施设备控制策略，实现智慧监控预警，提高能源使用效率。优化用能结构，推动公共机构终端用能电气化替代，加大太阳能等可再生能源、绿色低碳技术和产品推广运用力度。</w:t>
      </w: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firstLine="640"/>
        <w:jc w:val="both"/>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方正黑体_GBK" w:hAnsi="方正黑体_GBK" w:eastAsia="方正黑体_GBK" w:cs="方正黑体_GBK"/>
          <w:sz w:val="32"/>
          <w:szCs w:val="32"/>
          <w:lang w:val="en-US" w:eastAsia="zh-CN"/>
        </w:rPr>
        <w:t>六、促进资源节约集约高效利用。</w:t>
      </w:r>
      <w:r>
        <w:rPr>
          <w:rFonts w:hint="eastAsia" w:ascii="方正仿宋_GBK" w:hAnsi="方正仿宋_GBK" w:eastAsia="方正仿宋_GBK" w:cs="方正仿宋_GBK"/>
          <w:sz w:val="32"/>
          <w:szCs w:val="32"/>
          <w:lang w:val="en-US" w:eastAsia="zh-CN"/>
        </w:rPr>
        <w:t>持续推进节约用水，推动节水型器具普及更新，按要求做好公共机构领域节水考核。</w:t>
      </w:r>
      <w:r>
        <w:rPr>
          <w:rFonts w:hint="eastAsia" w:ascii="方正仿宋_GBK" w:hAnsi="方正仿宋_GBK" w:eastAsia="方正仿宋_GBK" w:cs="方正仿宋_GBK"/>
          <w:sz w:val="32"/>
          <w:szCs w:val="32"/>
          <w:highlight w:val="none"/>
          <w:lang w:val="en-US" w:eastAsia="zh-CN"/>
        </w:rPr>
        <w:t>严格机关食堂反食品浪费工作成效评估和通报制度，强化评估结果应用。落实《党政机关生活垃圾分类管理规范》省地方标准，</w:t>
      </w:r>
      <w:r>
        <w:rPr>
          <w:rFonts w:hint="eastAsia" w:ascii="方正仿宋_GBK" w:hAnsi="方正仿宋_GBK" w:eastAsia="方正仿宋_GBK" w:cs="方正仿宋_GBK"/>
          <w:sz w:val="32"/>
          <w:szCs w:val="32"/>
          <w:lang w:val="en-US" w:eastAsia="zh-CN"/>
        </w:rPr>
        <w:t>做好公共机构生活垃圾分类和塑料污染治理，常态化开展生活垃圾分类志愿服务和废旧3C电子产品回收。实行无纸化办公和纸张双面打印，限制使用一次性办公用品，减少使用一次性塑料制品。合理设置空调温度，减少设备待机能耗，提高视频会议比例，倡导“135”绿色低碳出行。</w:t>
      </w: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firstLine="640"/>
        <w:jc w:val="both"/>
        <w:textAlignment w:val="auto"/>
        <w:outlineLvl w:val="9"/>
        <w:rPr>
          <w:rFonts w:hint="default" w:ascii="方正仿宋_GBK" w:hAnsi="方正仿宋_GBK"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七、发挥典型示范作用</w:t>
      </w:r>
      <w:r>
        <w:rPr>
          <w:rFonts w:hint="eastAsia" w:ascii="方正黑体_GBK" w:hAnsi="方正黑体_GBK" w:eastAsia="方正黑体_GBK" w:cs="方正黑体_GBK"/>
          <w:sz w:val="32"/>
          <w:szCs w:val="32"/>
          <w:highlight w:val="none"/>
          <w:lang w:val="en-US" w:eastAsia="zh-CN"/>
        </w:rPr>
        <w:t>。</w:t>
      </w:r>
      <w:r>
        <w:rPr>
          <w:rFonts w:hint="eastAsia" w:ascii="方正仿宋_GBK" w:hAnsi="方正仿宋_GBK" w:eastAsia="方正仿宋_GBK" w:cs="方正仿宋_GBK"/>
          <w:sz w:val="32"/>
          <w:szCs w:val="32"/>
          <w:lang w:val="en-US" w:eastAsia="zh-CN"/>
        </w:rPr>
        <w:t>按国管局统一部署开展公共机构水效领跑者（2027-2029年）遴选、2026年公共机构绿色低碳技术征集和绿色低碳转型课题申报，配合做好国家绿色算力设施遴选。开展全国节能宣传周、全国城市生活垃圾分类宣传周等公共机构节能主题宣传活动，配合做好2023-2024年节约型公共机构示范单位和能效领跑者典型经验宣传。组织公共机构节能业务培训和新产品、新技术推荐活动，鼓励干部职工参加绿色低碳讲堂、节能管理远程培训。开展公共机构碳普惠、整区能源费用托管、夜间非正常电水数据监测等课题研究，力争总结形成江苏经验。</w:t>
      </w: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firstLine="640"/>
        <w:jc w:val="both"/>
        <w:textAlignment w:val="auto"/>
        <w:outlineLvl w:val="9"/>
        <w:rPr>
          <w:rFonts w:hint="eastAsia" w:ascii="方正仿宋_GBK" w:hAnsi="方正仿宋_GBK" w:eastAsia="方正仿宋_GBK" w:cs="方正仿宋_GBK"/>
          <w:sz w:val="32"/>
          <w:szCs w:val="32"/>
          <w:lang w:val="en-US" w:eastAsia="zh-CN"/>
        </w:rPr>
      </w:pP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firstLine="640"/>
        <w:jc w:val="both"/>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附件：1. 2026年度重点工作任务</w:t>
      </w:r>
    </w:p>
    <w:p>
      <w:pPr>
        <w:keepNext w:val="0"/>
        <w:keepLines w:val="0"/>
        <w:pageBreakBefore w:val="0"/>
        <w:widowControl w:val="0"/>
        <w:kinsoku/>
        <w:wordWrap/>
        <w:overflowPunct w:val="0"/>
        <w:topLinePunct w:val="0"/>
        <w:autoSpaceDE/>
        <w:autoSpaceDN/>
        <w:bidi w:val="0"/>
        <w:adjustRightInd/>
        <w:snapToGrid/>
        <w:spacing w:line="590" w:lineRule="exact"/>
        <w:ind w:left="0" w:leftChars="0" w:right="0" w:rightChars="0" w:firstLine="640"/>
        <w:jc w:val="both"/>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 xml:space="preserve">      2. 公共机构整区能源费用托管有关地区名单</w:t>
      </w:r>
    </w:p>
    <w:p>
      <w:pPr>
        <w:pStyle w:val="2"/>
        <w:keepNext w:val="0"/>
        <w:keepLines w:val="0"/>
        <w:pageBreakBefore w:val="0"/>
        <w:kinsoku/>
        <w:topLinePunct w:val="0"/>
        <w:autoSpaceDE/>
        <w:autoSpaceDN/>
        <w:bidi w:val="0"/>
        <w:adjustRightInd/>
        <w:spacing w:before="0" w:after="0" w:line="590" w:lineRule="exact"/>
        <w:ind w:left="0" w:leftChars="0" w:right="0" w:rightChars="0"/>
        <w:textAlignment w:val="auto"/>
        <w:rPr>
          <w:rFonts w:hint="eastAsia" w:ascii="方正仿宋_GBK" w:hAnsi="方正仿宋_GBK" w:eastAsia="方正仿宋_GBK" w:cs="方正仿宋_GBK"/>
          <w:sz w:val="32"/>
          <w:szCs w:val="32"/>
          <w:lang w:val="en-US" w:eastAsia="zh-CN"/>
        </w:rPr>
      </w:pPr>
    </w:p>
    <w:p>
      <w:pPr>
        <w:pStyle w:val="2"/>
        <w:keepNext w:val="0"/>
        <w:keepLines w:val="0"/>
        <w:pageBreakBefore w:val="0"/>
        <w:kinsoku/>
        <w:topLinePunct w:val="0"/>
        <w:autoSpaceDE/>
        <w:autoSpaceDN/>
        <w:bidi w:val="0"/>
        <w:adjustRightInd/>
        <w:spacing w:before="0" w:after="0" w:line="590" w:lineRule="exact"/>
        <w:ind w:left="0" w:leftChars="0" w:right="0" w:rightChars="0"/>
        <w:textAlignment w:val="auto"/>
        <w:rPr>
          <w:rFonts w:hint="eastAsia" w:ascii="方正仿宋_GBK" w:hAnsi="方正仿宋_GBK" w:eastAsia="方正仿宋_GBK" w:cs="方正仿宋_GBK"/>
          <w:sz w:val="32"/>
          <w:szCs w:val="32"/>
          <w:lang w:val="en-US" w:eastAsia="zh-CN"/>
        </w:rPr>
      </w:pPr>
    </w:p>
    <w:p>
      <w:pPr>
        <w:pStyle w:val="2"/>
        <w:keepNext w:val="0"/>
        <w:keepLines w:val="0"/>
        <w:pageBreakBefore w:val="0"/>
        <w:kinsoku/>
        <w:topLinePunct w:val="0"/>
        <w:autoSpaceDE/>
        <w:autoSpaceDN/>
        <w:bidi w:val="0"/>
        <w:adjustRightInd/>
        <w:spacing w:before="0" w:after="0" w:line="590" w:lineRule="exact"/>
        <w:ind w:left="0" w:leftChars="0" w:right="0" w:rightChars="0"/>
        <w:textAlignment w:val="auto"/>
        <w:rPr>
          <w:rFonts w:hint="eastAsia" w:ascii="方正仿宋_GBK" w:hAnsi="方正仿宋_GBK" w:eastAsia="方正仿宋_GBK" w:cs="方正仿宋_GBK"/>
          <w:sz w:val="32"/>
          <w:szCs w:val="32"/>
          <w:lang w:val="en-US" w:eastAsia="zh-CN"/>
        </w:rPr>
      </w:pPr>
    </w:p>
    <w:p>
      <w:pPr>
        <w:pStyle w:val="2"/>
        <w:keepNext w:val="0"/>
        <w:keepLines w:val="0"/>
        <w:pageBreakBefore w:val="0"/>
        <w:kinsoku/>
        <w:topLinePunct w:val="0"/>
        <w:autoSpaceDE/>
        <w:autoSpaceDN/>
        <w:bidi w:val="0"/>
        <w:adjustRightInd/>
        <w:spacing w:before="0" w:after="0" w:line="590" w:lineRule="exact"/>
        <w:ind w:left="0" w:leftChars="0" w:right="0" w:rightChars="0"/>
        <w:textAlignment w:val="auto"/>
        <w:rPr>
          <w:rFonts w:hint="eastAsia" w:ascii="方正仿宋_GBK" w:hAnsi="方正仿宋_GBK" w:eastAsia="方正仿宋_GBK" w:cs="方正仿宋_GBK"/>
          <w:sz w:val="32"/>
          <w:szCs w:val="32"/>
          <w:lang w:val="en-US" w:eastAsia="zh-CN"/>
        </w:rPr>
        <w:sectPr>
          <w:headerReference r:id="rId3" w:type="default"/>
          <w:footerReference r:id="rId4" w:type="default"/>
          <w:pgSz w:w="11906" w:h="16838"/>
          <w:pgMar w:top="2098" w:right="1474" w:bottom="1984" w:left="1587" w:header="851" w:footer="1417" w:gutter="0"/>
          <w:pgBorders>
            <w:top w:val="none" w:color="auto" w:sz="0" w:space="0"/>
            <w:left w:val="none" w:color="auto" w:sz="0" w:space="0"/>
            <w:bottom w:val="none" w:color="auto" w:sz="0" w:space="0"/>
            <w:right w:val="none" w:color="auto" w:sz="0" w:space="0"/>
          </w:pgBorders>
          <w:cols w:space="720" w:num="1"/>
          <w:rtlGutter w:val="0"/>
          <w:docGrid w:type="lines" w:linePitch="315" w:charSpace="0"/>
        </w:sectPr>
      </w:pPr>
    </w:p>
    <w:p>
      <w:pPr>
        <w:pStyle w:val="2"/>
        <w:keepNext w:val="0"/>
        <w:keepLines w:val="0"/>
        <w:pageBreakBefore w:val="0"/>
        <w:kinsoku/>
        <w:topLinePunct w:val="0"/>
        <w:autoSpaceDE/>
        <w:autoSpaceDN/>
        <w:bidi w:val="0"/>
        <w:adjustRightInd/>
        <w:spacing w:before="0" w:after="0" w:line="590" w:lineRule="exact"/>
        <w:ind w:left="0" w:leftChars="0" w:right="0" w:rightChars="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附件1</w:t>
      </w:r>
    </w:p>
    <w:p>
      <w:pPr>
        <w:pStyle w:val="2"/>
        <w:keepNext w:val="0"/>
        <w:keepLines w:val="0"/>
        <w:pageBreakBefore w:val="0"/>
        <w:kinsoku/>
        <w:topLinePunct w:val="0"/>
        <w:autoSpaceDE/>
        <w:autoSpaceDN/>
        <w:bidi w:val="0"/>
        <w:adjustRightInd/>
        <w:spacing w:before="0" w:after="0" w:line="590" w:lineRule="exact"/>
        <w:ind w:left="0" w:leftChars="0" w:right="0" w:rightChars="0"/>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2026年度重点工作任务</w:t>
      </w:r>
    </w:p>
    <w:p>
      <w:pPr>
        <w:pStyle w:val="2"/>
        <w:keepNext w:val="0"/>
        <w:keepLines w:val="0"/>
        <w:pageBreakBefore w:val="0"/>
        <w:kinsoku/>
        <w:topLinePunct w:val="0"/>
        <w:autoSpaceDE/>
        <w:autoSpaceDN/>
        <w:bidi w:val="0"/>
        <w:adjustRightInd/>
        <w:spacing w:before="0" w:after="0" w:line="590" w:lineRule="exact"/>
        <w:ind w:left="0" w:leftChars="0" w:right="0" w:rightChars="0"/>
        <w:textAlignment w:val="auto"/>
        <w:rPr>
          <w:rFonts w:hint="eastAsia" w:ascii="方正仿宋_GBK" w:hAnsi="方正仿宋_GBK" w:eastAsia="方正仿宋_GBK" w:cs="方正仿宋_GBK"/>
          <w:sz w:val="32"/>
          <w:szCs w:val="32"/>
          <w:lang w:val="en-US" w:eastAsia="zh-CN"/>
        </w:rPr>
      </w:pPr>
    </w:p>
    <w:tbl>
      <w:tblPr>
        <w:tblStyle w:val="8"/>
        <w:tblW w:w="135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7"/>
        <w:gridCol w:w="7200"/>
        <w:gridCol w:w="1711"/>
        <w:gridCol w:w="36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21" w:hRule="atLeast"/>
        </w:trPr>
        <w:tc>
          <w:tcPr>
            <w:tcW w:w="967"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黑体_GBK" w:hAnsi="方正黑体_GBK" w:eastAsia="方正黑体_GBK" w:cs="方正黑体_GBK"/>
                <w:sz w:val="28"/>
                <w:szCs w:val="28"/>
                <w:highlight w:val="none"/>
                <w:vertAlign w:val="baseline"/>
                <w:lang w:val="en-US" w:eastAsia="zh-CN"/>
              </w:rPr>
            </w:pPr>
            <w:r>
              <w:rPr>
                <w:rFonts w:hint="eastAsia" w:ascii="方正黑体_GBK" w:hAnsi="方正黑体_GBK" w:eastAsia="方正黑体_GBK" w:cs="方正黑体_GBK"/>
                <w:sz w:val="28"/>
                <w:szCs w:val="28"/>
                <w:highlight w:val="none"/>
                <w:vertAlign w:val="baseline"/>
                <w:lang w:val="en-US" w:eastAsia="zh-CN"/>
              </w:rPr>
              <w:t>序号</w:t>
            </w:r>
          </w:p>
        </w:tc>
        <w:tc>
          <w:tcPr>
            <w:tcW w:w="720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黑体_GBK" w:hAnsi="方正黑体_GBK" w:eastAsia="方正黑体_GBK" w:cs="方正黑体_GBK"/>
                <w:sz w:val="28"/>
                <w:szCs w:val="28"/>
                <w:highlight w:val="none"/>
                <w:vertAlign w:val="baseline"/>
                <w:lang w:val="en-US" w:eastAsia="zh-CN"/>
              </w:rPr>
            </w:pPr>
            <w:r>
              <w:rPr>
                <w:rFonts w:hint="eastAsia" w:ascii="方正黑体_GBK" w:hAnsi="方正黑体_GBK" w:eastAsia="方正黑体_GBK" w:cs="方正黑体_GBK"/>
                <w:sz w:val="28"/>
                <w:szCs w:val="28"/>
                <w:highlight w:val="none"/>
                <w:vertAlign w:val="baseline"/>
                <w:lang w:val="en-US" w:eastAsia="zh-CN"/>
              </w:rPr>
              <w:t>重点工作</w:t>
            </w:r>
          </w:p>
        </w:tc>
        <w:tc>
          <w:tcPr>
            <w:tcW w:w="171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黑体_GBK" w:hAnsi="方正黑体_GBK" w:eastAsia="方正黑体_GBK" w:cs="方正黑体_GBK"/>
                <w:sz w:val="28"/>
                <w:szCs w:val="28"/>
                <w:highlight w:val="none"/>
                <w:vertAlign w:val="baseline"/>
                <w:lang w:val="en-US" w:eastAsia="zh-CN"/>
              </w:rPr>
            </w:pPr>
            <w:r>
              <w:rPr>
                <w:rFonts w:hint="eastAsia" w:ascii="方正黑体_GBK" w:hAnsi="方正黑体_GBK" w:eastAsia="方正黑体_GBK" w:cs="方正黑体_GBK"/>
                <w:sz w:val="28"/>
                <w:szCs w:val="28"/>
                <w:highlight w:val="none"/>
                <w:vertAlign w:val="baseline"/>
                <w:lang w:val="en-US" w:eastAsia="zh-CN"/>
              </w:rPr>
              <w:t>完成时限</w:t>
            </w:r>
          </w:p>
        </w:tc>
        <w:tc>
          <w:tcPr>
            <w:tcW w:w="3683"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黑体_GBK" w:hAnsi="方正黑体_GBK" w:eastAsia="方正黑体_GBK" w:cs="方正黑体_GBK"/>
                <w:sz w:val="28"/>
                <w:szCs w:val="28"/>
                <w:highlight w:val="none"/>
                <w:vertAlign w:val="baseline"/>
                <w:lang w:val="en-US" w:eastAsia="zh-CN"/>
              </w:rPr>
            </w:pPr>
            <w:r>
              <w:rPr>
                <w:rFonts w:hint="eastAsia" w:ascii="方正黑体_GBK" w:hAnsi="方正黑体_GBK" w:eastAsia="方正黑体_GBK" w:cs="方正黑体_GBK"/>
                <w:sz w:val="28"/>
                <w:szCs w:val="28"/>
                <w:highlight w:val="none"/>
                <w:vertAlign w:val="baseline"/>
                <w:lang w:val="en-US" w:eastAsia="zh-CN"/>
              </w:rPr>
              <w:t>责任部门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51" w:hRule="atLeast"/>
        </w:trPr>
        <w:tc>
          <w:tcPr>
            <w:tcW w:w="967"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1</w:t>
            </w:r>
          </w:p>
        </w:tc>
        <w:tc>
          <w:tcPr>
            <w:tcW w:w="720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出台《江苏省公共机构节约能源资源“十五五”规划》。</w:t>
            </w:r>
          </w:p>
        </w:tc>
        <w:tc>
          <w:tcPr>
            <w:tcW w:w="171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6月底前</w:t>
            </w:r>
          </w:p>
        </w:tc>
        <w:tc>
          <w:tcPr>
            <w:tcW w:w="3683"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省机关事务管理局、</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省发展改革委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5" w:hRule="atLeast"/>
        </w:trPr>
        <w:tc>
          <w:tcPr>
            <w:tcW w:w="967"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2</w:t>
            </w:r>
          </w:p>
        </w:tc>
        <w:tc>
          <w:tcPr>
            <w:tcW w:w="720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分解下达各设区市公共机构碳排放控制指标。</w:t>
            </w:r>
          </w:p>
        </w:tc>
        <w:tc>
          <w:tcPr>
            <w:tcW w:w="171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9月底前</w:t>
            </w:r>
          </w:p>
        </w:tc>
        <w:tc>
          <w:tcPr>
            <w:tcW w:w="3683"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省机关事务管理局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92" w:hRule="atLeast"/>
        </w:trPr>
        <w:tc>
          <w:tcPr>
            <w:tcW w:w="967"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3</w:t>
            </w:r>
          </w:p>
        </w:tc>
        <w:tc>
          <w:tcPr>
            <w:tcW w:w="720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有序接入分布式光伏、节能改造、林业碳汇等减碳项目，组织核查机构培训并做好减碳量核查工作。</w:t>
            </w:r>
          </w:p>
        </w:tc>
        <w:tc>
          <w:tcPr>
            <w:tcW w:w="171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12月底前</w:t>
            </w:r>
          </w:p>
        </w:tc>
        <w:tc>
          <w:tcPr>
            <w:tcW w:w="3683"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各级机关事务管理部门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92" w:hRule="atLeast"/>
        </w:trPr>
        <w:tc>
          <w:tcPr>
            <w:tcW w:w="967"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4</w:t>
            </w:r>
          </w:p>
        </w:tc>
        <w:tc>
          <w:tcPr>
            <w:tcW w:w="720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以中和2026年江苏城市足球联赛等大型活动为牵引，探索推进减碳量交易。</w:t>
            </w:r>
          </w:p>
        </w:tc>
        <w:tc>
          <w:tcPr>
            <w:tcW w:w="171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12月底前</w:t>
            </w:r>
          </w:p>
        </w:tc>
        <w:tc>
          <w:tcPr>
            <w:tcW w:w="3683"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各级机关事务、体育部门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36" w:hRule="atLeast"/>
        </w:trPr>
        <w:tc>
          <w:tcPr>
            <w:tcW w:w="967"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5</w:t>
            </w:r>
          </w:p>
        </w:tc>
        <w:tc>
          <w:tcPr>
            <w:tcW w:w="720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lang w:val="en-US" w:eastAsia="zh-CN"/>
              </w:rPr>
              <w:t>推动整区能源费用托管从地区试点到全省铺开。第一批试点地区全面完成试点工作；</w:t>
            </w:r>
            <w:r>
              <w:rPr>
                <w:rFonts w:hint="eastAsia" w:ascii="方正仿宋_GBK" w:hAnsi="方正仿宋_GBK" w:eastAsia="方正仿宋_GBK" w:cs="方正仿宋_GBK"/>
                <w:sz w:val="28"/>
                <w:szCs w:val="28"/>
                <w:highlight w:val="none"/>
              </w:rPr>
              <w:t>第二批试点地区完成节能管控平台建设，有序推进节能技术改造</w:t>
            </w:r>
            <w:r>
              <w:rPr>
                <w:rFonts w:hint="eastAsia" w:ascii="方正仿宋_GBK" w:hAnsi="方正仿宋_GBK" w:eastAsia="方正仿宋_GBK" w:cs="方正仿宋_GBK"/>
                <w:sz w:val="28"/>
                <w:szCs w:val="28"/>
                <w:highlight w:val="none"/>
                <w:lang w:eastAsia="zh-CN"/>
              </w:rPr>
              <w:t>；</w:t>
            </w:r>
            <w:r>
              <w:rPr>
                <w:rFonts w:hint="eastAsia" w:ascii="方正仿宋_GBK" w:hAnsi="方正仿宋_GBK" w:eastAsia="方正仿宋_GBK" w:cs="方正仿宋_GBK"/>
                <w:sz w:val="28"/>
                <w:szCs w:val="28"/>
                <w:highlight w:val="none"/>
                <w:vertAlign w:val="baseline"/>
                <w:lang w:val="en-US" w:eastAsia="zh-CN"/>
              </w:rPr>
              <w:t>启动24个县（市、区）整区能源费用托管，完成招标前各项准备。</w:t>
            </w:r>
          </w:p>
        </w:tc>
        <w:tc>
          <w:tcPr>
            <w:tcW w:w="171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12月底前</w:t>
            </w:r>
          </w:p>
        </w:tc>
        <w:tc>
          <w:tcPr>
            <w:tcW w:w="3683"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省机关事务管理局，有关设区市机关事务管理局，</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有关县（市、区）机关事务、教育、卫健等部门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50" w:hRule="atLeast"/>
        </w:trPr>
        <w:tc>
          <w:tcPr>
            <w:tcW w:w="967"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6</w:t>
            </w:r>
          </w:p>
        </w:tc>
        <w:tc>
          <w:tcPr>
            <w:tcW w:w="720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推进高校、医院、场馆等重点用能单位实施合同能源管理、合同节水管理，年度新增项目数量不少于5个。</w:t>
            </w:r>
          </w:p>
        </w:tc>
        <w:tc>
          <w:tcPr>
            <w:tcW w:w="171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12月底前</w:t>
            </w:r>
          </w:p>
        </w:tc>
        <w:tc>
          <w:tcPr>
            <w:tcW w:w="3683"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省机关事务管理局、</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省教育厅、省卫生健康委、省体育局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36" w:hRule="atLeast"/>
        </w:trPr>
        <w:tc>
          <w:tcPr>
            <w:tcW w:w="967"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7</w:t>
            </w:r>
          </w:p>
        </w:tc>
        <w:tc>
          <w:tcPr>
            <w:tcW w:w="720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落实习惯“过紧日子”要求，试点探索建立公共机构夜间等非工作时段电、水异常数据预警监测机制。</w:t>
            </w:r>
          </w:p>
        </w:tc>
        <w:tc>
          <w:tcPr>
            <w:tcW w:w="171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12月底前</w:t>
            </w:r>
          </w:p>
        </w:tc>
        <w:tc>
          <w:tcPr>
            <w:tcW w:w="3683"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省机关事务管理局、</w:t>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南京市机关事务管理局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09" w:hRule="atLeast"/>
        </w:trPr>
        <w:tc>
          <w:tcPr>
            <w:tcW w:w="967"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8</w:t>
            </w:r>
          </w:p>
        </w:tc>
        <w:tc>
          <w:tcPr>
            <w:tcW w:w="720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用实用好“两新”政策，推动全省公共机构既有建筑节能改造面积不小于200万平方米。</w:t>
            </w:r>
          </w:p>
        </w:tc>
        <w:tc>
          <w:tcPr>
            <w:tcW w:w="171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12月底前</w:t>
            </w:r>
          </w:p>
        </w:tc>
        <w:tc>
          <w:tcPr>
            <w:tcW w:w="3683"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各级机关事务管理、教育、卫健等部门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45" w:hRule="atLeast"/>
        </w:trPr>
        <w:tc>
          <w:tcPr>
            <w:tcW w:w="967"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9</w:t>
            </w:r>
          </w:p>
        </w:tc>
        <w:tc>
          <w:tcPr>
            <w:tcW w:w="7200"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开展公共机构水效领跑者（2027-2029年）遴选、2026年公共机构绿色低碳技术征集和绿色低碳转型课题申报，配合做好国家绿色算力设施遴选。</w:t>
            </w:r>
          </w:p>
        </w:tc>
        <w:tc>
          <w:tcPr>
            <w:tcW w:w="171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12月底前</w:t>
            </w:r>
          </w:p>
        </w:tc>
        <w:tc>
          <w:tcPr>
            <w:tcW w:w="3683"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方正仿宋_GBK" w:hAnsi="方正仿宋_GBK" w:eastAsia="方正仿宋_GBK" w:cs="方正仿宋_GBK"/>
                <w:sz w:val="28"/>
                <w:szCs w:val="28"/>
                <w:highlight w:val="none"/>
                <w:vertAlign w:val="baseline"/>
                <w:lang w:val="en-US" w:eastAsia="zh-CN"/>
              </w:rPr>
            </w:pPr>
            <w:r>
              <w:rPr>
                <w:rFonts w:hint="eastAsia" w:ascii="方正仿宋_GBK" w:hAnsi="方正仿宋_GBK" w:eastAsia="方正仿宋_GBK" w:cs="方正仿宋_GBK"/>
                <w:sz w:val="28"/>
                <w:szCs w:val="28"/>
                <w:highlight w:val="none"/>
                <w:vertAlign w:val="baseline"/>
                <w:lang w:val="en-US" w:eastAsia="zh-CN"/>
              </w:rPr>
              <w:t>各级机关事务管理、教育、卫健等部门</w:t>
            </w:r>
          </w:p>
        </w:tc>
      </w:tr>
    </w:tbl>
    <w:p>
      <w:pPr>
        <w:pStyle w:val="2"/>
        <w:keepNext w:val="0"/>
        <w:keepLines w:val="0"/>
        <w:pageBreakBefore w:val="0"/>
        <w:kinsoku/>
        <w:topLinePunct w:val="0"/>
        <w:autoSpaceDE/>
        <w:autoSpaceDN/>
        <w:bidi w:val="0"/>
        <w:adjustRightInd/>
        <w:spacing w:before="0" w:after="0" w:line="590" w:lineRule="exact"/>
        <w:ind w:left="0" w:leftChars="0" w:right="0" w:rightChars="0"/>
        <w:textAlignment w:val="auto"/>
        <w:rPr>
          <w:rFonts w:hint="eastAsia" w:ascii="方正仿宋_GBK" w:hAnsi="方正仿宋_GBK" w:eastAsia="方正仿宋_GBK" w:cs="方正仿宋_GBK"/>
          <w:b/>
          <w:bCs/>
          <w:sz w:val="32"/>
          <w:szCs w:val="32"/>
          <w:lang w:val="en-US" w:eastAsia="zh-CN"/>
        </w:rPr>
      </w:pPr>
    </w:p>
    <w:p>
      <w:pPr>
        <w:pStyle w:val="2"/>
        <w:keepNext w:val="0"/>
        <w:keepLines w:val="0"/>
        <w:pageBreakBefore w:val="0"/>
        <w:kinsoku/>
        <w:topLinePunct w:val="0"/>
        <w:autoSpaceDE/>
        <w:autoSpaceDN/>
        <w:bidi w:val="0"/>
        <w:adjustRightInd/>
        <w:spacing w:before="0" w:after="0" w:line="590" w:lineRule="exact"/>
        <w:ind w:left="0" w:leftChars="0" w:right="0" w:rightChars="0"/>
        <w:textAlignment w:val="auto"/>
        <w:rPr>
          <w:rFonts w:hint="eastAsia" w:ascii="方正仿宋_GBK" w:hAnsi="方正仿宋_GBK" w:eastAsia="方正仿宋_GBK" w:cs="方正仿宋_GBK"/>
          <w:b/>
          <w:bCs/>
          <w:sz w:val="32"/>
          <w:szCs w:val="32"/>
          <w:lang w:val="en-US" w:eastAsia="zh-CN"/>
        </w:rPr>
        <w:sectPr>
          <w:pgSz w:w="16838" w:h="11906" w:orient="landscape"/>
          <w:pgMar w:top="1587" w:right="2098" w:bottom="1474" w:left="1984" w:header="851" w:footer="1417" w:gutter="0"/>
          <w:pgBorders>
            <w:top w:val="none" w:color="auto" w:sz="0" w:space="0"/>
            <w:left w:val="none" w:color="auto" w:sz="0" w:space="0"/>
            <w:bottom w:val="none" w:color="auto" w:sz="0" w:space="0"/>
            <w:right w:val="none" w:color="auto" w:sz="0" w:space="0"/>
          </w:pgBorders>
          <w:cols w:space="720" w:num="1"/>
          <w:rtlGutter w:val="0"/>
          <w:docGrid w:type="lines" w:linePitch="315" w:charSpace="0"/>
        </w:sectPr>
      </w:pPr>
    </w:p>
    <w:p>
      <w:pPr>
        <w:pStyle w:val="2"/>
        <w:keepNext w:val="0"/>
        <w:keepLines w:val="0"/>
        <w:pageBreakBefore w:val="0"/>
        <w:kinsoku/>
        <w:topLinePunct w:val="0"/>
        <w:autoSpaceDE/>
        <w:autoSpaceDN/>
        <w:bidi w:val="0"/>
        <w:adjustRightInd/>
        <w:spacing w:before="0" w:after="0" w:line="590" w:lineRule="exact"/>
        <w:ind w:left="0" w:leftChars="0" w:right="0" w:rightChars="0"/>
        <w:textAlignment w:val="auto"/>
        <w:rPr>
          <w:rFonts w:hint="eastAsia" w:ascii="方正黑体_GBK" w:hAnsi="方正黑体_GBK" w:eastAsia="方正黑体_GBK" w:cs="方正黑体_GBK"/>
          <w:b w:val="0"/>
          <w:bCs w:val="0"/>
          <w:sz w:val="32"/>
          <w:szCs w:val="32"/>
          <w:lang w:val="en-US" w:eastAsia="zh-CN"/>
        </w:rPr>
      </w:pPr>
      <w:r>
        <w:rPr>
          <w:rFonts w:hint="eastAsia" w:ascii="方正黑体_GBK" w:hAnsi="方正黑体_GBK" w:eastAsia="方正黑体_GBK" w:cs="方正黑体_GBK"/>
          <w:b w:val="0"/>
          <w:bCs w:val="0"/>
          <w:sz w:val="32"/>
          <w:szCs w:val="32"/>
          <w:lang w:val="en-US" w:eastAsia="zh-CN"/>
        </w:rPr>
        <w:t>附件2</w:t>
      </w:r>
    </w:p>
    <w:p>
      <w:pPr>
        <w:pStyle w:val="2"/>
        <w:keepNext w:val="0"/>
        <w:keepLines w:val="0"/>
        <w:pageBreakBefore w:val="0"/>
        <w:kinsoku/>
        <w:topLinePunct w:val="0"/>
        <w:autoSpaceDE/>
        <w:autoSpaceDN/>
        <w:bidi w:val="0"/>
        <w:adjustRightInd/>
        <w:spacing w:before="0" w:after="0" w:line="590" w:lineRule="exact"/>
        <w:ind w:left="0" w:leftChars="0" w:right="0" w:rightChars="0"/>
        <w:textAlignment w:val="auto"/>
        <w:rPr>
          <w:rFonts w:hint="eastAsia" w:ascii="方正仿宋_GBK" w:hAnsi="方正仿宋_GBK" w:eastAsia="方正仿宋_GBK" w:cs="方正仿宋_GBK"/>
          <w:b w:val="0"/>
          <w:bCs w:val="0"/>
          <w:sz w:val="32"/>
          <w:szCs w:val="32"/>
          <w:lang w:val="en-US" w:eastAsia="zh-CN"/>
        </w:rPr>
      </w:pPr>
    </w:p>
    <w:p>
      <w:pPr>
        <w:pStyle w:val="2"/>
        <w:keepNext w:val="0"/>
        <w:keepLines w:val="0"/>
        <w:pageBreakBefore w:val="0"/>
        <w:kinsoku/>
        <w:topLinePunct w:val="0"/>
        <w:autoSpaceDE/>
        <w:autoSpaceDN/>
        <w:bidi w:val="0"/>
        <w:adjustRightInd/>
        <w:spacing w:before="0" w:after="0" w:line="590" w:lineRule="exact"/>
        <w:ind w:left="0" w:leftChars="0" w:right="0" w:rightChars="0"/>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公共机构整区能源费用托管有关地区名单</w:t>
      </w:r>
    </w:p>
    <w:p>
      <w:pPr>
        <w:pStyle w:val="2"/>
        <w:keepNext w:val="0"/>
        <w:keepLines w:val="0"/>
        <w:pageBreakBefore w:val="0"/>
        <w:kinsoku/>
        <w:topLinePunct w:val="0"/>
        <w:autoSpaceDE/>
        <w:autoSpaceDN/>
        <w:bidi w:val="0"/>
        <w:adjustRightInd/>
        <w:spacing w:before="0" w:after="0" w:line="590" w:lineRule="exact"/>
        <w:ind w:left="0" w:leftChars="0" w:right="0" w:rightChars="0"/>
        <w:jc w:val="center"/>
        <w:textAlignment w:val="auto"/>
        <w:rPr>
          <w:rFonts w:hint="eastAsia" w:ascii="方正仿宋_GBK" w:hAnsi="方正仿宋_GBK" w:eastAsia="方正仿宋_GBK" w:cs="方正仿宋_GBK"/>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val="0"/>
        <w:spacing w:before="0" w:after="0" w:line="590" w:lineRule="exact"/>
        <w:ind w:left="0" w:leftChars="0" w:right="0" w:rightChars="0" w:firstLine="0" w:firstLineChars="0"/>
        <w:jc w:val="center"/>
        <w:textAlignment w:val="auto"/>
        <w:outlineLvl w:val="9"/>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第一批试点地区（3个）</w:t>
      </w:r>
    </w:p>
    <w:p>
      <w:pPr>
        <w:pStyle w:val="2"/>
        <w:keepNext w:val="0"/>
        <w:keepLines w:val="0"/>
        <w:pageBreakBefore w:val="0"/>
        <w:widowControl w:val="0"/>
        <w:kinsoku/>
        <w:wordWrap/>
        <w:overflowPunct/>
        <w:topLinePunct w:val="0"/>
        <w:autoSpaceDE/>
        <w:autoSpaceDN/>
        <w:bidi w:val="0"/>
        <w:adjustRightInd/>
        <w:snapToGrid w:val="0"/>
        <w:spacing w:before="0" w:after="0" w:line="590" w:lineRule="exact"/>
        <w:ind w:left="0" w:leftChars="0" w:right="0" w:rightChars="0" w:firstLine="0" w:firstLineChars="0"/>
        <w:jc w:val="center"/>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highlight w:val="none"/>
        </w:rPr>
        <w:t>宜兴市、张家港市、盐城市大丰区</w:t>
      </w:r>
    </w:p>
    <w:p>
      <w:pPr>
        <w:pStyle w:val="2"/>
        <w:keepNext w:val="0"/>
        <w:keepLines w:val="0"/>
        <w:pageBreakBefore w:val="0"/>
        <w:widowControl w:val="0"/>
        <w:kinsoku/>
        <w:wordWrap/>
        <w:overflowPunct/>
        <w:topLinePunct w:val="0"/>
        <w:autoSpaceDE/>
        <w:autoSpaceDN/>
        <w:bidi w:val="0"/>
        <w:adjustRightInd/>
        <w:snapToGrid w:val="0"/>
        <w:spacing w:before="0" w:after="0" w:line="590" w:lineRule="exact"/>
        <w:ind w:left="0" w:leftChars="0" w:right="0" w:rightChars="0" w:firstLine="0" w:firstLineChars="0"/>
        <w:jc w:val="center"/>
        <w:textAlignment w:val="auto"/>
        <w:outlineLvl w:val="9"/>
        <w:rPr>
          <w:rFonts w:hint="eastAsia" w:ascii="方正黑体_GBK" w:hAnsi="方正黑体_GBK" w:eastAsia="方正黑体_GBK" w:cs="方正黑体_GBK"/>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val="0"/>
        <w:spacing w:before="0" w:after="0" w:line="590" w:lineRule="exact"/>
        <w:ind w:left="0" w:leftChars="0" w:right="0" w:rightChars="0" w:firstLine="0" w:firstLineChars="0"/>
        <w:jc w:val="center"/>
        <w:textAlignment w:val="auto"/>
        <w:outlineLvl w:val="9"/>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第二批试点地区（5个）</w:t>
      </w:r>
    </w:p>
    <w:p>
      <w:pPr>
        <w:pStyle w:val="2"/>
        <w:keepNext w:val="0"/>
        <w:keepLines w:val="0"/>
        <w:pageBreakBefore w:val="0"/>
        <w:widowControl w:val="0"/>
        <w:kinsoku/>
        <w:wordWrap/>
        <w:overflowPunct/>
        <w:topLinePunct w:val="0"/>
        <w:autoSpaceDE/>
        <w:autoSpaceDN/>
        <w:bidi w:val="0"/>
        <w:adjustRightInd/>
        <w:snapToGrid w:val="0"/>
        <w:spacing w:before="0" w:after="0" w:line="590" w:lineRule="exact"/>
        <w:ind w:left="0" w:leftChars="0" w:right="0" w:rightChars="0" w:firstLine="0" w:firstLineChars="0"/>
        <w:jc w:val="center"/>
        <w:textAlignment w:val="auto"/>
        <w:outlineLvl w:val="9"/>
        <w:rPr>
          <w:rFonts w:hint="eastAsia" w:ascii="方正仿宋_GBK" w:hAnsi="方正仿宋_GBK" w:eastAsia="方正仿宋_GBK" w:cs="方正仿宋_GBK"/>
          <w:sz w:val="32"/>
          <w:szCs w:val="32"/>
          <w:highlight w:val="none"/>
          <w:lang w:val="en-US" w:eastAsia="zh-CN"/>
        </w:rPr>
      </w:pPr>
      <w:r>
        <w:rPr>
          <w:rFonts w:hint="eastAsia" w:ascii="方正仿宋_GBK" w:hAnsi="方正仿宋_GBK" w:eastAsia="方正仿宋_GBK" w:cs="方正仿宋_GBK"/>
          <w:sz w:val="32"/>
          <w:szCs w:val="32"/>
          <w:highlight w:val="none"/>
        </w:rPr>
        <w:t>无锡市滨湖区、沛县、常州市武进区、扬州市邗江区、泰兴市</w:t>
      </w:r>
    </w:p>
    <w:p>
      <w:pPr>
        <w:pStyle w:val="2"/>
        <w:keepNext w:val="0"/>
        <w:keepLines w:val="0"/>
        <w:pageBreakBefore w:val="0"/>
        <w:widowControl w:val="0"/>
        <w:kinsoku/>
        <w:wordWrap/>
        <w:overflowPunct/>
        <w:topLinePunct w:val="0"/>
        <w:autoSpaceDE/>
        <w:autoSpaceDN/>
        <w:bidi w:val="0"/>
        <w:adjustRightInd/>
        <w:snapToGrid w:val="0"/>
        <w:spacing w:before="0" w:after="0" w:line="590" w:lineRule="exact"/>
        <w:ind w:left="0" w:leftChars="0" w:right="0" w:rightChars="0" w:firstLine="0" w:firstLineChars="0"/>
        <w:jc w:val="center"/>
        <w:textAlignment w:val="auto"/>
        <w:outlineLvl w:val="9"/>
        <w:rPr>
          <w:rFonts w:hint="eastAsia" w:ascii="方正黑体_GBK" w:hAnsi="方正黑体_GBK" w:eastAsia="方正黑体_GBK" w:cs="方正黑体_GBK"/>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val="0"/>
        <w:spacing w:before="0" w:after="0" w:line="590" w:lineRule="exact"/>
        <w:ind w:left="0" w:leftChars="0" w:right="0" w:rightChars="0" w:firstLine="0" w:firstLineChars="0"/>
        <w:jc w:val="center"/>
        <w:textAlignment w:val="auto"/>
        <w:outlineLvl w:val="9"/>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2026年启动和推进的地区（24个）</w:t>
      </w:r>
    </w:p>
    <w:p>
      <w:pPr>
        <w:pStyle w:val="2"/>
        <w:keepNext w:val="0"/>
        <w:keepLines w:val="0"/>
        <w:pageBreakBefore w:val="0"/>
        <w:widowControl w:val="0"/>
        <w:kinsoku/>
        <w:wordWrap/>
        <w:overflowPunct/>
        <w:topLinePunct w:val="0"/>
        <w:autoSpaceDE/>
        <w:autoSpaceDN/>
        <w:bidi w:val="0"/>
        <w:adjustRightInd/>
        <w:snapToGrid w:val="0"/>
        <w:spacing w:before="0" w:after="0" w:line="590" w:lineRule="exact"/>
        <w:ind w:left="0" w:leftChars="0" w:right="0" w:rightChars="0" w:firstLine="640" w:firstLineChars="200"/>
        <w:jc w:val="left"/>
        <w:textAlignment w:val="auto"/>
        <w:outlineLvl w:val="9"/>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南京市秦淮区、无锡市锡山区、无锡市惠山区、江阴市、徐州市云龙区、睢宁县、常州市钟楼区、常州市金坛区、昆山市、苏州高新区、如东县、启东市、如皋市、海安市、南通经济技术开发区、东海县、淮安经济技术开发区、响水县、阜宁县、高邮市、丹阳市、泰州市海陵区、泰州市姜堰区、泗阳县</w:t>
      </w:r>
    </w:p>
    <w:sectPr>
      <w:pgSz w:w="11906" w:h="16838"/>
      <w:pgMar w:top="2098" w:right="1474" w:bottom="1984" w:left="1587" w:header="851" w:footer="1417" w:gutter="0"/>
      <w:pgBorders>
        <w:top w:val="none" w:color="auto" w:sz="0" w:space="0"/>
        <w:left w:val="none" w:color="auto" w:sz="0" w:space="0"/>
        <w:bottom w:val="none" w:color="auto" w:sz="0" w:space="0"/>
        <w:right w:val="none" w:color="auto" w:sz="0" w:space="0"/>
      </w:pgBorders>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92"/>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DejaVu Sans">
    <w:altName w:val="Segoe Print"/>
    <w:panose1 w:val="020B0603030804020204"/>
    <w:charset w:val="00"/>
    <w:family w:val="auto"/>
    <w:pitch w:val="default"/>
    <w:sig w:usb0="00000000" w:usb1="00000000" w:usb2="0A246029" w:usb3="0400200C" w:csb0="600001FF" w:csb1="DFFF0000"/>
  </w:font>
  <w:font w:name="方正书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hint="eastAsia" w:ascii="宋体" w:hAnsi="宋体" w:eastAsia="宋体" w:cs="宋体"/>
                              <w:sz w:val="28"/>
                              <w:szCs w:val="28"/>
                              <w:lang w:eastAsia="zh-CN"/>
                            </w:rPr>
                          </w:pPr>
                          <w:r>
                            <w:rPr>
                              <w:rFonts w:hint="eastAsia" w:ascii="宋体" w:hAnsi="宋体" w:cs="宋体"/>
                              <w:sz w:val="28"/>
                              <w:szCs w:val="28"/>
                              <w:lang w:eastAsia="zh-CN"/>
                            </w:rPr>
                            <w:t>—</w:t>
                          </w:r>
                          <w:r>
                            <w:rPr>
                              <w:rFonts w:hint="eastAsia" w:ascii="宋体" w:hAnsi="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rPr>
                            <w:t>1</w:t>
                          </w:r>
                          <w:r>
                            <w:rPr>
                              <w:rFonts w:hint="eastAsia" w:ascii="宋体" w:hAnsi="宋体" w:eastAsia="宋体" w:cs="宋体"/>
                              <w:sz w:val="28"/>
                              <w:szCs w:val="28"/>
                              <w:lang w:eastAsia="zh-CN"/>
                            </w:rPr>
                            <w:fldChar w:fldCharType="end"/>
                          </w:r>
                          <w:r>
                            <w:rPr>
                              <w:rFonts w:hint="eastAsia" w:ascii="宋体" w:hAnsi="宋体" w:cs="宋体"/>
                              <w:sz w:val="28"/>
                              <w:szCs w:val="28"/>
                              <w:lang w:val="en-US" w:eastAsia="zh-CN"/>
                            </w:rPr>
                            <w:t xml:space="preserve"> </w:t>
                          </w:r>
                          <w:r>
                            <w:rPr>
                              <w:rFonts w:hint="eastAsia" w:ascii="宋体" w:hAnsi="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NJWO7QAAAABQEAAA8AAAAAAAAA&#10;AQAgAAAAIgAAAGRycy9kb3ducmV2LnhtbFBLAQIUABQAAAAIAIdO4kArqOpyGQIAACEEAAAOAAAA&#10;AAAAAAEAIAAAAB8BAABkcnMvZTJvRG9jLnhtbFBLBQYAAAAABgAGAFkBAACqBQAAAAA=&#10;">
              <v:fill on="f" focussize="0,0"/>
              <v:stroke on="f" weight="0.5pt"/>
              <v:imagedata o:title=""/>
              <o:lock v:ext="edit" aspectratio="f"/>
              <v:textbox inset="0mm,0mm,0mm,0mm" style="mso-fit-shape-to-text:t;">
                <w:txbxContent>
                  <w:p>
                    <w:pPr>
                      <w:snapToGrid w:val="0"/>
                      <w:rPr>
                        <w:rFonts w:hint="eastAsia" w:ascii="宋体" w:hAnsi="宋体" w:eastAsia="宋体" w:cs="宋体"/>
                        <w:sz w:val="28"/>
                        <w:szCs w:val="28"/>
                        <w:lang w:eastAsia="zh-CN"/>
                      </w:rPr>
                    </w:pPr>
                    <w:r>
                      <w:rPr>
                        <w:rFonts w:hint="eastAsia" w:ascii="宋体" w:hAnsi="宋体" w:cs="宋体"/>
                        <w:sz w:val="28"/>
                        <w:szCs w:val="28"/>
                        <w:lang w:eastAsia="zh-CN"/>
                      </w:rPr>
                      <w:t>—</w:t>
                    </w:r>
                    <w:r>
                      <w:rPr>
                        <w:rFonts w:hint="eastAsia" w:ascii="宋体" w:hAnsi="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rPr>
                      <w:t>1</w:t>
                    </w:r>
                    <w:r>
                      <w:rPr>
                        <w:rFonts w:hint="eastAsia" w:ascii="宋体" w:hAnsi="宋体" w:eastAsia="宋体" w:cs="宋体"/>
                        <w:sz w:val="28"/>
                        <w:szCs w:val="28"/>
                        <w:lang w:eastAsia="zh-CN"/>
                      </w:rPr>
                      <w:fldChar w:fldCharType="end"/>
                    </w:r>
                    <w:r>
                      <w:rPr>
                        <w:rFonts w:hint="eastAsia" w:ascii="宋体" w:hAnsi="宋体" w:cs="宋体"/>
                        <w:sz w:val="28"/>
                        <w:szCs w:val="28"/>
                        <w:lang w:val="en-US" w:eastAsia="zh-CN"/>
                      </w:rPr>
                      <w:t xml:space="preserve"> </w:t>
                    </w:r>
                    <w:r>
                      <w:rPr>
                        <w:rFonts w:hint="eastAsia" w:ascii="宋体" w:hAnsi="宋体" w:cs="宋体"/>
                        <w:sz w:val="28"/>
                        <w:szCs w:val="28"/>
                        <w:lang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hint="eastAsia" w:eastAsia="宋体"/>
        <w:lang w:eastAsia="zh-C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hyphenationZone w:val="360"/>
  <w:drawingGridVerticalSpacing w:val="158"/>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942335"/>
    <w:rsid w:val="005C73E8"/>
    <w:rsid w:val="0084242A"/>
    <w:rsid w:val="009F6C58"/>
    <w:rsid w:val="00BB15E5"/>
    <w:rsid w:val="00DA5CB6"/>
    <w:rsid w:val="0122006F"/>
    <w:rsid w:val="01867A28"/>
    <w:rsid w:val="01994DFF"/>
    <w:rsid w:val="01D36643"/>
    <w:rsid w:val="01DF7756"/>
    <w:rsid w:val="01FB61A3"/>
    <w:rsid w:val="021B205A"/>
    <w:rsid w:val="022F141B"/>
    <w:rsid w:val="0231591A"/>
    <w:rsid w:val="027819AB"/>
    <w:rsid w:val="0279700C"/>
    <w:rsid w:val="02CD547D"/>
    <w:rsid w:val="036B7D3D"/>
    <w:rsid w:val="039C1F8E"/>
    <w:rsid w:val="04741140"/>
    <w:rsid w:val="05A7248F"/>
    <w:rsid w:val="05D373B6"/>
    <w:rsid w:val="05D9053D"/>
    <w:rsid w:val="060E3C22"/>
    <w:rsid w:val="066A44D9"/>
    <w:rsid w:val="0679127F"/>
    <w:rsid w:val="07064A9C"/>
    <w:rsid w:val="073C3055"/>
    <w:rsid w:val="07CB4B03"/>
    <w:rsid w:val="07D42334"/>
    <w:rsid w:val="07ED6459"/>
    <w:rsid w:val="081768A8"/>
    <w:rsid w:val="081A2490"/>
    <w:rsid w:val="081D47C0"/>
    <w:rsid w:val="08366A4F"/>
    <w:rsid w:val="08496BCA"/>
    <w:rsid w:val="086009DD"/>
    <w:rsid w:val="08851DB3"/>
    <w:rsid w:val="0886056A"/>
    <w:rsid w:val="08C70299"/>
    <w:rsid w:val="08E85120"/>
    <w:rsid w:val="08EE0B64"/>
    <w:rsid w:val="091A7304"/>
    <w:rsid w:val="09687EEA"/>
    <w:rsid w:val="09F63900"/>
    <w:rsid w:val="0A574727"/>
    <w:rsid w:val="0A755CA3"/>
    <w:rsid w:val="0A823BE3"/>
    <w:rsid w:val="0AC20AF1"/>
    <w:rsid w:val="0B2C2917"/>
    <w:rsid w:val="0B2E4DAE"/>
    <w:rsid w:val="0B36671D"/>
    <w:rsid w:val="0B6A3432"/>
    <w:rsid w:val="0B912220"/>
    <w:rsid w:val="0C0030C1"/>
    <w:rsid w:val="0C1744AB"/>
    <w:rsid w:val="0C5B359C"/>
    <w:rsid w:val="0C5F0B1E"/>
    <w:rsid w:val="0C892AF6"/>
    <w:rsid w:val="0C9A7AFC"/>
    <w:rsid w:val="0CF12E77"/>
    <w:rsid w:val="0D480F8D"/>
    <w:rsid w:val="0D501AE9"/>
    <w:rsid w:val="0DA174E8"/>
    <w:rsid w:val="0DB905A9"/>
    <w:rsid w:val="0DDA6566"/>
    <w:rsid w:val="0DED1AFC"/>
    <w:rsid w:val="0E3F48F4"/>
    <w:rsid w:val="0E465B56"/>
    <w:rsid w:val="0EE86373"/>
    <w:rsid w:val="0F8C5325"/>
    <w:rsid w:val="0FA14A30"/>
    <w:rsid w:val="0FBF3E39"/>
    <w:rsid w:val="0FC76F58"/>
    <w:rsid w:val="101C10C4"/>
    <w:rsid w:val="10863E98"/>
    <w:rsid w:val="108A7A41"/>
    <w:rsid w:val="10B90017"/>
    <w:rsid w:val="11112FF3"/>
    <w:rsid w:val="11605BA1"/>
    <w:rsid w:val="11636184"/>
    <w:rsid w:val="11CC020D"/>
    <w:rsid w:val="1267270C"/>
    <w:rsid w:val="12AF4F5B"/>
    <w:rsid w:val="12B35BD6"/>
    <w:rsid w:val="12EF345C"/>
    <w:rsid w:val="13173890"/>
    <w:rsid w:val="131F7EC4"/>
    <w:rsid w:val="13865881"/>
    <w:rsid w:val="13955AEC"/>
    <w:rsid w:val="13A11D4A"/>
    <w:rsid w:val="13A545B6"/>
    <w:rsid w:val="13B43D61"/>
    <w:rsid w:val="141F2D31"/>
    <w:rsid w:val="14255CFE"/>
    <w:rsid w:val="14340945"/>
    <w:rsid w:val="14622271"/>
    <w:rsid w:val="147727C0"/>
    <w:rsid w:val="14F12AE3"/>
    <w:rsid w:val="157F1467"/>
    <w:rsid w:val="15942335"/>
    <w:rsid w:val="15DA741D"/>
    <w:rsid w:val="160E3242"/>
    <w:rsid w:val="16B57249"/>
    <w:rsid w:val="16D74EC9"/>
    <w:rsid w:val="176C2122"/>
    <w:rsid w:val="17BB35CF"/>
    <w:rsid w:val="180711FF"/>
    <w:rsid w:val="18114049"/>
    <w:rsid w:val="18271044"/>
    <w:rsid w:val="184B54A9"/>
    <w:rsid w:val="1871577A"/>
    <w:rsid w:val="18996C4E"/>
    <w:rsid w:val="189F6DEB"/>
    <w:rsid w:val="18B97513"/>
    <w:rsid w:val="18CF2043"/>
    <w:rsid w:val="193E42C2"/>
    <w:rsid w:val="19DF0939"/>
    <w:rsid w:val="19E60916"/>
    <w:rsid w:val="19F855DC"/>
    <w:rsid w:val="1A000EBE"/>
    <w:rsid w:val="1A1E2393"/>
    <w:rsid w:val="1A644E13"/>
    <w:rsid w:val="1A8C7C35"/>
    <w:rsid w:val="1A9351F9"/>
    <w:rsid w:val="1A9D5D39"/>
    <w:rsid w:val="1AC60671"/>
    <w:rsid w:val="1AE03960"/>
    <w:rsid w:val="1AE54D5D"/>
    <w:rsid w:val="1AF006FA"/>
    <w:rsid w:val="1B056CB9"/>
    <w:rsid w:val="1B3E2490"/>
    <w:rsid w:val="1B426BCB"/>
    <w:rsid w:val="1B496128"/>
    <w:rsid w:val="1B5062C6"/>
    <w:rsid w:val="1B6D4B4C"/>
    <w:rsid w:val="1BBB77FF"/>
    <w:rsid w:val="1C4140BB"/>
    <w:rsid w:val="1C8648E9"/>
    <w:rsid w:val="1C944891"/>
    <w:rsid w:val="1CD71968"/>
    <w:rsid w:val="1CD91065"/>
    <w:rsid w:val="1D15780B"/>
    <w:rsid w:val="1D1F1EB5"/>
    <w:rsid w:val="1D502E17"/>
    <w:rsid w:val="1D567DE7"/>
    <w:rsid w:val="1D8347C2"/>
    <w:rsid w:val="1E42636B"/>
    <w:rsid w:val="1EAC1F46"/>
    <w:rsid w:val="1ED26158"/>
    <w:rsid w:val="1F06679E"/>
    <w:rsid w:val="1F4C5EAE"/>
    <w:rsid w:val="1FD70844"/>
    <w:rsid w:val="1FE66139"/>
    <w:rsid w:val="1FE77CAB"/>
    <w:rsid w:val="203E3E01"/>
    <w:rsid w:val="206D47AA"/>
    <w:rsid w:val="20BC1FFC"/>
    <w:rsid w:val="20E30B99"/>
    <w:rsid w:val="20E371B1"/>
    <w:rsid w:val="211B44B5"/>
    <w:rsid w:val="215340C7"/>
    <w:rsid w:val="21AD402F"/>
    <w:rsid w:val="21CC4C16"/>
    <w:rsid w:val="220741B2"/>
    <w:rsid w:val="225B00B7"/>
    <w:rsid w:val="22863E41"/>
    <w:rsid w:val="228A75D2"/>
    <w:rsid w:val="228F737C"/>
    <w:rsid w:val="23031DF9"/>
    <w:rsid w:val="230772F2"/>
    <w:rsid w:val="231D33A9"/>
    <w:rsid w:val="23700688"/>
    <w:rsid w:val="23B84BA1"/>
    <w:rsid w:val="23D11000"/>
    <w:rsid w:val="245E3A8B"/>
    <w:rsid w:val="24C42CB2"/>
    <w:rsid w:val="257855C1"/>
    <w:rsid w:val="25A5621B"/>
    <w:rsid w:val="25A85773"/>
    <w:rsid w:val="25AD7EED"/>
    <w:rsid w:val="25E12196"/>
    <w:rsid w:val="261167AD"/>
    <w:rsid w:val="26405CCA"/>
    <w:rsid w:val="26543FB1"/>
    <w:rsid w:val="2666796E"/>
    <w:rsid w:val="267C092A"/>
    <w:rsid w:val="26C502A8"/>
    <w:rsid w:val="273C31E9"/>
    <w:rsid w:val="275E66F2"/>
    <w:rsid w:val="27795E56"/>
    <w:rsid w:val="27C376D6"/>
    <w:rsid w:val="286B2FEC"/>
    <w:rsid w:val="28831E8C"/>
    <w:rsid w:val="28A9230C"/>
    <w:rsid w:val="292E29F6"/>
    <w:rsid w:val="29662585"/>
    <w:rsid w:val="299838E5"/>
    <w:rsid w:val="29AD13F5"/>
    <w:rsid w:val="29B800A9"/>
    <w:rsid w:val="29D1029C"/>
    <w:rsid w:val="2A410D57"/>
    <w:rsid w:val="2A4C2F06"/>
    <w:rsid w:val="2A7B35D7"/>
    <w:rsid w:val="2AB173A7"/>
    <w:rsid w:val="2AF96DA8"/>
    <w:rsid w:val="2B026F70"/>
    <w:rsid w:val="2B1734CC"/>
    <w:rsid w:val="2B320CEA"/>
    <w:rsid w:val="2B8E1AAA"/>
    <w:rsid w:val="2B9F63E1"/>
    <w:rsid w:val="2BA5178F"/>
    <w:rsid w:val="2BA87E89"/>
    <w:rsid w:val="2BAA5371"/>
    <w:rsid w:val="2C16747F"/>
    <w:rsid w:val="2C8D5146"/>
    <w:rsid w:val="2CB64CF8"/>
    <w:rsid w:val="2D4D092B"/>
    <w:rsid w:val="2DF05EAB"/>
    <w:rsid w:val="2E055C70"/>
    <w:rsid w:val="2E0C042E"/>
    <w:rsid w:val="2E2441EA"/>
    <w:rsid w:val="2E302771"/>
    <w:rsid w:val="2E317965"/>
    <w:rsid w:val="2E43119A"/>
    <w:rsid w:val="2E8042B0"/>
    <w:rsid w:val="2ED26C15"/>
    <w:rsid w:val="2ED5280C"/>
    <w:rsid w:val="2EEC5EDF"/>
    <w:rsid w:val="2F445961"/>
    <w:rsid w:val="2F863F28"/>
    <w:rsid w:val="2FEF1696"/>
    <w:rsid w:val="301E270C"/>
    <w:rsid w:val="303D7F6C"/>
    <w:rsid w:val="304A18E1"/>
    <w:rsid w:val="308A2283"/>
    <w:rsid w:val="30B337EE"/>
    <w:rsid w:val="3108471B"/>
    <w:rsid w:val="31552EF2"/>
    <w:rsid w:val="31664C3E"/>
    <w:rsid w:val="31F316D3"/>
    <w:rsid w:val="320E2F28"/>
    <w:rsid w:val="321A6F88"/>
    <w:rsid w:val="322875A5"/>
    <w:rsid w:val="32722CAA"/>
    <w:rsid w:val="328D6231"/>
    <w:rsid w:val="33371498"/>
    <w:rsid w:val="33710F89"/>
    <w:rsid w:val="339A71A1"/>
    <w:rsid w:val="33DA2BB1"/>
    <w:rsid w:val="340E4FFE"/>
    <w:rsid w:val="34291CC2"/>
    <w:rsid w:val="34475C4E"/>
    <w:rsid w:val="345B5504"/>
    <w:rsid w:val="34B4434B"/>
    <w:rsid w:val="34B446A6"/>
    <w:rsid w:val="34CF2009"/>
    <w:rsid w:val="35120A0F"/>
    <w:rsid w:val="351E1421"/>
    <w:rsid w:val="35510BF0"/>
    <w:rsid w:val="35AE70A6"/>
    <w:rsid w:val="35C46A77"/>
    <w:rsid w:val="3638293E"/>
    <w:rsid w:val="36394C08"/>
    <w:rsid w:val="36C77304"/>
    <w:rsid w:val="36D16C8B"/>
    <w:rsid w:val="36D27D5B"/>
    <w:rsid w:val="36FE6B9B"/>
    <w:rsid w:val="370254D0"/>
    <w:rsid w:val="370F589A"/>
    <w:rsid w:val="37355146"/>
    <w:rsid w:val="37810CBE"/>
    <w:rsid w:val="37D7694C"/>
    <w:rsid w:val="37EC6A0B"/>
    <w:rsid w:val="384806CB"/>
    <w:rsid w:val="38C36CF2"/>
    <w:rsid w:val="38C70F06"/>
    <w:rsid w:val="39836FBE"/>
    <w:rsid w:val="39A5398F"/>
    <w:rsid w:val="39C462D9"/>
    <w:rsid w:val="3A08481C"/>
    <w:rsid w:val="3A1F326F"/>
    <w:rsid w:val="3A331EC5"/>
    <w:rsid w:val="3A5F386B"/>
    <w:rsid w:val="3A6E2986"/>
    <w:rsid w:val="3A8856E3"/>
    <w:rsid w:val="3ADC6637"/>
    <w:rsid w:val="3AF7A049"/>
    <w:rsid w:val="3B0E6CA9"/>
    <w:rsid w:val="3B5633BF"/>
    <w:rsid w:val="3B5919EF"/>
    <w:rsid w:val="3B843CEE"/>
    <w:rsid w:val="3C131317"/>
    <w:rsid w:val="3C504AFF"/>
    <w:rsid w:val="3C5D473A"/>
    <w:rsid w:val="3C6B0D22"/>
    <w:rsid w:val="3C7729B5"/>
    <w:rsid w:val="3CB20874"/>
    <w:rsid w:val="3CD74BAF"/>
    <w:rsid w:val="3CE06E73"/>
    <w:rsid w:val="3D0A46B9"/>
    <w:rsid w:val="3D0B0F50"/>
    <w:rsid w:val="3D3D0E7E"/>
    <w:rsid w:val="3D63356E"/>
    <w:rsid w:val="3D7BCA91"/>
    <w:rsid w:val="3D950FC9"/>
    <w:rsid w:val="3D9C5A81"/>
    <w:rsid w:val="3DBF1BB8"/>
    <w:rsid w:val="3DC113F0"/>
    <w:rsid w:val="3DCA33DD"/>
    <w:rsid w:val="3DCC3D6D"/>
    <w:rsid w:val="3E4E1513"/>
    <w:rsid w:val="3F314450"/>
    <w:rsid w:val="3F325337"/>
    <w:rsid w:val="3F63364B"/>
    <w:rsid w:val="3F657CBA"/>
    <w:rsid w:val="3FCD99CB"/>
    <w:rsid w:val="3FFF06AA"/>
    <w:rsid w:val="40177B7A"/>
    <w:rsid w:val="40223170"/>
    <w:rsid w:val="40520DED"/>
    <w:rsid w:val="409E2F20"/>
    <w:rsid w:val="40D059DE"/>
    <w:rsid w:val="40D21B49"/>
    <w:rsid w:val="412B7781"/>
    <w:rsid w:val="41477258"/>
    <w:rsid w:val="41782BA6"/>
    <w:rsid w:val="42447013"/>
    <w:rsid w:val="427B4E63"/>
    <w:rsid w:val="42DA3CA6"/>
    <w:rsid w:val="436213C4"/>
    <w:rsid w:val="437E61EC"/>
    <w:rsid w:val="43837F90"/>
    <w:rsid w:val="43B278B3"/>
    <w:rsid w:val="43C4510F"/>
    <w:rsid w:val="43EB0343"/>
    <w:rsid w:val="43FA0DB9"/>
    <w:rsid w:val="4478623F"/>
    <w:rsid w:val="4489115E"/>
    <w:rsid w:val="44B11175"/>
    <w:rsid w:val="44BD013A"/>
    <w:rsid w:val="451E41B2"/>
    <w:rsid w:val="458C2D89"/>
    <w:rsid w:val="45A769E7"/>
    <w:rsid w:val="460B4764"/>
    <w:rsid w:val="464E4E54"/>
    <w:rsid w:val="466B5E89"/>
    <w:rsid w:val="46835AB0"/>
    <w:rsid w:val="468A796A"/>
    <w:rsid w:val="469452D8"/>
    <w:rsid w:val="46A74B10"/>
    <w:rsid w:val="46BF4349"/>
    <w:rsid w:val="46C478C6"/>
    <w:rsid w:val="46FA2DFD"/>
    <w:rsid w:val="47243375"/>
    <w:rsid w:val="47481F7D"/>
    <w:rsid w:val="47C25A22"/>
    <w:rsid w:val="481658E7"/>
    <w:rsid w:val="485F705F"/>
    <w:rsid w:val="48613034"/>
    <w:rsid w:val="486A52AB"/>
    <w:rsid w:val="487A1093"/>
    <w:rsid w:val="48A465AC"/>
    <w:rsid w:val="48C43AF2"/>
    <w:rsid w:val="48C63C0D"/>
    <w:rsid w:val="48DF6B05"/>
    <w:rsid w:val="49084E15"/>
    <w:rsid w:val="490F2DB6"/>
    <w:rsid w:val="493B13B0"/>
    <w:rsid w:val="496312FB"/>
    <w:rsid w:val="49833624"/>
    <w:rsid w:val="4A035E3E"/>
    <w:rsid w:val="4A5164D8"/>
    <w:rsid w:val="4A6E2D26"/>
    <w:rsid w:val="4AE37F05"/>
    <w:rsid w:val="4AEC1199"/>
    <w:rsid w:val="4B673B6B"/>
    <w:rsid w:val="4B850331"/>
    <w:rsid w:val="4BBF2E78"/>
    <w:rsid w:val="4BE67EAA"/>
    <w:rsid w:val="4BF15BD6"/>
    <w:rsid w:val="4C2245C2"/>
    <w:rsid w:val="4D1279E9"/>
    <w:rsid w:val="4D1635EF"/>
    <w:rsid w:val="4D29777B"/>
    <w:rsid w:val="4D9A3A3F"/>
    <w:rsid w:val="4DE74D79"/>
    <w:rsid w:val="4DEC107D"/>
    <w:rsid w:val="4E290DAD"/>
    <w:rsid w:val="4E3D5B66"/>
    <w:rsid w:val="4E3F0273"/>
    <w:rsid w:val="4E6E2061"/>
    <w:rsid w:val="4E8A130D"/>
    <w:rsid w:val="4E8D1DC6"/>
    <w:rsid w:val="4EA33192"/>
    <w:rsid w:val="4F381116"/>
    <w:rsid w:val="4F392A69"/>
    <w:rsid w:val="4F435A93"/>
    <w:rsid w:val="4F521C3C"/>
    <w:rsid w:val="4FD2171F"/>
    <w:rsid w:val="4FEC1A00"/>
    <w:rsid w:val="50102087"/>
    <w:rsid w:val="503B3FBE"/>
    <w:rsid w:val="50C55C77"/>
    <w:rsid w:val="511F062F"/>
    <w:rsid w:val="51390C25"/>
    <w:rsid w:val="514976B4"/>
    <w:rsid w:val="519D2017"/>
    <w:rsid w:val="51D06734"/>
    <w:rsid w:val="52093EB0"/>
    <w:rsid w:val="522B250E"/>
    <w:rsid w:val="527123B9"/>
    <w:rsid w:val="52B6496A"/>
    <w:rsid w:val="532173A7"/>
    <w:rsid w:val="538B7D8B"/>
    <w:rsid w:val="54045959"/>
    <w:rsid w:val="541A5968"/>
    <w:rsid w:val="54734CE4"/>
    <w:rsid w:val="549455B4"/>
    <w:rsid w:val="54A21CDF"/>
    <w:rsid w:val="54A66B5E"/>
    <w:rsid w:val="54DF3E38"/>
    <w:rsid w:val="54F137BA"/>
    <w:rsid w:val="556674A8"/>
    <w:rsid w:val="557F78F6"/>
    <w:rsid w:val="55A94D1D"/>
    <w:rsid w:val="55BE0085"/>
    <w:rsid w:val="55C84426"/>
    <w:rsid w:val="55D64F66"/>
    <w:rsid w:val="55E65277"/>
    <w:rsid w:val="55F95B2A"/>
    <w:rsid w:val="55FD6D50"/>
    <w:rsid w:val="56182E23"/>
    <w:rsid w:val="563B766B"/>
    <w:rsid w:val="568B6600"/>
    <w:rsid w:val="56AB5520"/>
    <w:rsid w:val="56BA6AAA"/>
    <w:rsid w:val="573F36F0"/>
    <w:rsid w:val="575719EE"/>
    <w:rsid w:val="57B41974"/>
    <w:rsid w:val="57B95217"/>
    <w:rsid w:val="583A6F4E"/>
    <w:rsid w:val="58792F08"/>
    <w:rsid w:val="593B22E8"/>
    <w:rsid w:val="594D01E8"/>
    <w:rsid w:val="59A64369"/>
    <w:rsid w:val="59C748C6"/>
    <w:rsid w:val="59D93953"/>
    <w:rsid w:val="59ED591A"/>
    <w:rsid w:val="5A4A3D6C"/>
    <w:rsid w:val="5A6C5CFC"/>
    <w:rsid w:val="5A9A39F9"/>
    <w:rsid w:val="5AB26D6E"/>
    <w:rsid w:val="5AD01126"/>
    <w:rsid w:val="5AE9787A"/>
    <w:rsid w:val="5B304B8B"/>
    <w:rsid w:val="5B596D55"/>
    <w:rsid w:val="5B5F340E"/>
    <w:rsid w:val="5BA539BE"/>
    <w:rsid w:val="5BAE7737"/>
    <w:rsid w:val="5BC63202"/>
    <w:rsid w:val="5BF312B5"/>
    <w:rsid w:val="5C017ED1"/>
    <w:rsid w:val="5C2A749B"/>
    <w:rsid w:val="5C7031A2"/>
    <w:rsid w:val="5CE20960"/>
    <w:rsid w:val="5CF51043"/>
    <w:rsid w:val="5D785A99"/>
    <w:rsid w:val="5DC14C01"/>
    <w:rsid w:val="5DC517AE"/>
    <w:rsid w:val="5E1E3C6E"/>
    <w:rsid w:val="5E470B43"/>
    <w:rsid w:val="5EA0491A"/>
    <w:rsid w:val="5EBC077A"/>
    <w:rsid w:val="5F22283A"/>
    <w:rsid w:val="5F376A57"/>
    <w:rsid w:val="5FA15EE0"/>
    <w:rsid w:val="5FD46C5B"/>
    <w:rsid w:val="60114C97"/>
    <w:rsid w:val="6080101F"/>
    <w:rsid w:val="60AF6E28"/>
    <w:rsid w:val="60EE0956"/>
    <w:rsid w:val="614A4396"/>
    <w:rsid w:val="617934EB"/>
    <w:rsid w:val="61D848AB"/>
    <w:rsid w:val="624155E8"/>
    <w:rsid w:val="62A87206"/>
    <w:rsid w:val="62C6661B"/>
    <w:rsid w:val="62E13383"/>
    <w:rsid w:val="62E96B22"/>
    <w:rsid w:val="63B34006"/>
    <w:rsid w:val="6444253A"/>
    <w:rsid w:val="647013E6"/>
    <w:rsid w:val="648877AD"/>
    <w:rsid w:val="64CD4B82"/>
    <w:rsid w:val="64D51DAC"/>
    <w:rsid w:val="64E05797"/>
    <w:rsid w:val="64E85994"/>
    <w:rsid w:val="654D5002"/>
    <w:rsid w:val="65645AB5"/>
    <w:rsid w:val="65CD5345"/>
    <w:rsid w:val="65D40027"/>
    <w:rsid w:val="65E86CB7"/>
    <w:rsid w:val="66282256"/>
    <w:rsid w:val="66440245"/>
    <w:rsid w:val="667C0A14"/>
    <w:rsid w:val="66D603EF"/>
    <w:rsid w:val="66D75094"/>
    <w:rsid w:val="67267B39"/>
    <w:rsid w:val="67323960"/>
    <w:rsid w:val="675F1E98"/>
    <w:rsid w:val="6771282C"/>
    <w:rsid w:val="67A64DE0"/>
    <w:rsid w:val="68757044"/>
    <w:rsid w:val="68A079F6"/>
    <w:rsid w:val="68F651B9"/>
    <w:rsid w:val="69376C2A"/>
    <w:rsid w:val="695C5A02"/>
    <w:rsid w:val="697F7538"/>
    <w:rsid w:val="69AE190E"/>
    <w:rsid w:val="69E3671C"/>
    <w:rsid w:val="6A6E5028"/>
    <w:rsid w:val="6A704F6C"/>
    <w:rsid w:val="6A736507"/>
    <w:rsid w:val="6A8A6546"/>
    <w:rsid w:val="6B0071AE"/>
    <w:rsid w:val="6B6D6F68"/>
    <w:rsid w:val="6B907597"/>
    <w:rsid w:val="6B925AD3"/>
    <w:rsid w:val="6BE42688"/>
    <w:rsid w:val="6C2B7EC9"/>
    <w:rsid w:val="6C3A6A7D"/>
    <w:rsid w:val="6C5E0844"/>
    <w:rsid w:val="6C8C4C58"/>
    <w:rsid w:val="6D3721CF"/>
    <w:rsid w:val="6D41168B"/>
    <w:rsid w:val="6D7E326C"/>
    <w:rsid w:val="6D8A79DF"/>
    <w:rsid w:val="6D92135F"/>
    <w:rsid w:val="6E1767C5"/>
    <w:rsid w:val="6E2A1910"/>
    <w:rsid w:val="6E6906E1"/>
    <w:rsid w:val="6E7F390E"/>
    <w:rsid w:val="6EA25E28"/>
    <w:rsid w:val="6F09014B"/>
    <w:rsid w:val="6F154D7F"/>
    <w:rsid w:val="6F4D5AEC"/>
    <w:rsid w:val="6F571711"/>
    <w:rsid w:val="6F911FDB"/>
    <w:rsid w:val="6FA26885"/>
    <w:rsid w:val="6FA751EF"/>
    <w:rsid w:val="6FE653DC"/>
    <w:rsid w:val="6FEF209B"/>
    <w:rsid w:val="70223887"/>
    <w:rsid w:val="7086722D"/>
    <w:rsid w:val="70AF5F89"/>
    <w:rsid w:val="70D73A56"/>
    <w:rsid w:val="715D4995"/>
    <w:rsid w:val="715F0843"/>
    <w:rsid w:val="71D84A5B"/>
    <w:rsid w:val="729C2603"/>
    <w:rsid w:val="72C02C5F"/>
    <w:rsid w:val="72E36812"/>
    <w:rsid w:val="731A03CA"/>
    <w:rsid w:val="731A18D8"/>
    <w:rsid w:val="733466FC"/>
    <w:rsid w:val="733F03EB"/>
    <w:rsid w:val="73783AE3"/>
    <w:rsid w:val="73C455B9"/>
    <w:rsid w:val="73C817A9"/>
    <w:rsid w:val="73EA5E8C"/>
    <w:rsid w:val="73ED1AF1"/>
    <w:rsid w:val="74904AB7"/>
    <w:rsid w:val="74932460"/>
    <w:rsid w:val="74AD2818"/>
    <w:rsid w:val="74F21857"/>
    <w:rsid w:val="74FB5618"/>
    <w:rsid w:val="75421C3F"/>
    <w:rsid w:val="75885A03"/>
    <w:rsid w:val="75F025DF"/>
    <w:rsid w:val="760C2788"/>
    <w:rsid w:val="762D33B2"/>
    <w:rsid w:val="767C32CB"/>
    <w:rsid w:val="76B03D8B"/>
    <w:rsid w:val="76C37CCB"/>
    <w:rsid w:val="771A33BF"/>
    <w:rsid w:val="777D0269"/>
    <w:rsid w:val="77C8353D"/>
    <w:rsid w:val="77FA6F32"/>
    <w:rsid w:val="785239ED"/>
    <w:rsid w:val="7881167E"/>
    <w:rsid w:val="78CB37CA"/>
    <w:rsid w:val="78EE2EA6"/>
    <w:rsid w:val="7929708D"/>
    <w:rsid w:val="793F4043"/>
    <w:rsid w:val="7961654C"/>
    <w:rsid w:val="79821CDC"/>
    <w:rsid w:val="79A41434"/>
    <w:rsid w:val="79BB1051"/>
    <w:rsid w:val="79C45285"/>
    <w:rsid w:val="79D971F5"/>
    <w:rsid w:val="79F57C24"/>
    <w:rsid w:val="7A493746"/>
    <w:rsid w:val="7A5A6DA9"/>
    <w:rsid w:val="7AAD3A8F"/>
    <w:rsid w:val="7AF16E13"/>
    <w:rsid w:val="7B4D3D72"/>
    <w:rsid w:val="7B505EB2"/>
    <w:rsid w:val="7BE60A4A"/>
    <w:rsid w:val="7C091173"/>
    <w:rsid w:val="7C812076"/>
    <w:rsid w:val="7C979AB8"/>
    <w:rsid w:val="7CBA51EF"/>
    <w:rsid w:val="7CE06B3E"/>
    <w:rsid w:val="7CFB6968"/>
    <w:rsid w:val="7D3407ED"/>
    <w:rsid w:val="7D366DF9"/>
    <w:rsid w:val="7D740EC2"/>
    <w:rsid w:val="7DB54F45"/>
    <w:rsid w:val="7DDD085C"/>
    <w:rsid w:val="7DE516E0"/>
    <w:rsid w:val="7DF07FBB"/>
    <w:rsid w:val="7E233A92"/>
    <w:rsid w:val="7E24029D"/>
    <w:rsid w:val="7E241733"/>
    <w:rsid w:val="7E4C440F"/>
    <w:rsid w:val="7EE72BC4"/>
    <w:rsid w:val="7EFB7927"/>
    <w:rsid w:val="7F0C30BC"/>
    <w:rsid w:val="7F5B22CA"/>
    <w:rsid w:val="7F8708DE"/>
    <w:rsid w:val="7FFF4304"/>
    <w:rsid w:val="A67E2630"/>
    <w:rsid w:val="DBF9C813"/>
    <w:rsid w:val="EB9D1B21"/>
    <w:rsid w:val="EBF7C86F"/>
    <w:rsid w:val="EFF5A42A"/>
    <w:rsid w:val="F7F71D68"/>
    <w:rsid w:val="FDFB2135"/>
    <w:rsid w:val="FECB3964"/>
    <w:rsid w:val="FF7DF1E5"/>
    <w:rsid w:val="FFF5B0ED"/>
  </w:rsids>
  <m:mathPr>
    <m:lMargin m:val="0"/>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note text"/>
    <w:basedOn w:val="1"/>
    <w:qFormat/>
    <w:uiPriority w:val="0"/>
    <w:pPr>
      <w:keepNext w:val="0"/>
      <w:keepLines w:val="0"/>
      <w:pageBreakBefore w:val="0"/>
      <w:suppressLineNumbers w:val="0"/>
      <w:suppressAutoHyphens/>
      <w:wordWrap/>
      <w:topLinePunct w:val="0"/>
      <w:snapToGrid w:val="0"/>
      <w:spacing w:before="0" w:beforeAutospacing="0" w:after="0" w:afterAutospacing="0"/>
      <w:ind w:left="0" w:right="0" w:firstLine="0"/>
      <w:jc w:val="left"/>
      <w:textAlignment w:val="auto"/>
      <w:outlineLvl w:val="9"/>
    </w:pPr>
    <w:rPr>
      <w:rFonts w:cs="Times New Roman"/>
      <w:snapToGrid/>
      <w:spacing w:val="0"/>
      <w:w w:val="100"/>
      <w:position w:val="0"/>
      <w:sz w:val="18"/>
      <w:szCs w:val="18"/>
      <w:u w:val="none"/>
      <w:vertAlign w:val="baseline"/>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itle"/>
    <w:basedOn w:val="1"/>
    <w:next w:val="1"/>
    <w:qFormat/>
    <w:uiPriority w:val="0"/>
    <w:pPr>
      <w:widowControl w:val="0"/>
      <w:spacing w:before="240" w:after="60"/>
      <w:jc w:val="center"/>
      <w:outlineLvl w:val="0"/>
    </w:pPr>
    <w:rPr>
      <w:rFonts w:ascii="Arial" w:hAnsi="Arial" w:eastAsia="宋体" w:cs="Arial"/>
      <w:b/>
      <w:bCs/>
      <w:kern w:val="2"/>
      <w:sz w:val="21"/>
      <w:szCs w:val="21"/>
      <w:lang w:val="en-US" w:eastAsia="zh-CN" w:bidi="ar-SA"/>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9">
    <w:name w:val="font41"/>
    <w:basedOn w:val="6"/>
    <w:qFormat/>
    <w:uiPriority w:val="0"/>
    <w:rPr>
      <w:rFonts w:ascii="方正黑体_GBK" w:hAnsi="方正黑体_GBK" w:eastAsia="方正黑体_GBK" w:cs="方正黑体_GBK"/>
      <w:color w:val="000000"/>
      <w:sz w:val="28"/>
      <w:szCs w:val="28"/>
      <w:u w:val="none"/>
    </w:rPr>
  </w:style>
  <w:style w:type="character" w:customStyle="1" w:styleId="10">
    <w:name w:val="font131"/>
    <w:basedOn w:val="6"/>
    <w:qFormat/>
    <w:uiPriority w:val="0"/>
    <w:rPr>
      <w:rFonts w:hint="eastAsia" w:ascii="方正黑体_GBK" w:hAnsi="方正黑体_GBK" w:eastAsia="方正黑体_GBK" w:cs="方正黑体_GBK"/>
      <w:color w:val="000000"/>
      <w:sz w:val="28"/>
      <w:szCs w:val="28"/>
      <w:u w:val="none"/>
    </w:rPr>
  </w:style>
  <w:style w:type="character" w:customStyle="1" w:styleId="11">
    <w:name w:val="font181"/>
    <w:basedOn w:val="6"/>
    <w:qFormat/>
    <w:uiPriority w:val="0"/>
    <w:rPr>
      <w:rFonts w:ascii="方正仿宋_GBK" w:hAnsi="方正仿宋_GBK" w:eastAsia="方正仿宋_GBK" w:cs="方正仿宋_GBK"/>
      <w:color w:val="000000"/>
      <w:sz w:val="28"/>
      <w:szCs w:val="28"/>
      <w:u w:val="none"/>
    </w:rPr>
  </w:style>
  <w:style w:type="character" w:customStyle="1" w:styleId="12">
    <w:name w:val="font171"/>
    <w:basedOn w:val="6"/>
    <w:qFormat/>
    <w:uiPriority w:val="0"/>
    <w:rPr>
      <w:rFonts w:hint="default" w:ascii="Times New Roman" w:hAnsi="Times New Roman" w:cs="Times New Roman"/>
      <w:color w:val="000000"/>
      <w:sz w:val="28"/>
      <w:szCs w:val="28"/>
      <w:u w:val="none"/>
    </w:rPr>
  </w:style>
  <w:style w:type="character" w:customStyle="1" w:styleId="13">
    <w:name w:val="font151"/>
    <w:basedOn w:val="6"/>
    <w:qFormat/>
    <w:uiPriority w:val="0"/>
    <w:rPr>
      <w:rFonts w:hint="default" w:ascii="Times New Roman" w:hAnsi="Times New Roman" w:cs="Times New Roman"/>
      <w:color w:val="000000"/>
      <w:sz w:val="28"/>
      <w:szCs w:val="28"/>
      <w:u w:val="none"/>
    </w:rPr>
  </w:style>
  <w:style w:type="character" w:customStyle="1" w:styleId="14">
    <w:name w:val="font31"/>
    <w:basedOn w:val="6"/>
    <w:qFormat/>
    <w:uiPriority w:val="0"/>
    <w:rPr>
      <w:rFonts w:hint="eastAsia" w:ascii="方正仿宋_GBK" w:hAnsi="方正仿宋_GBK" w:eastAsia="方正仿宋_GBK" w:cs="方正仿宋_GBK"/>
      <w:color w:val="000000"/>
      <w:sz w:val="28"/>
      <w:szCs w:val="28"/>
      <w:u w:val="none"/>
    </w:rPr>
  </w:style>
  <w:style w:type="character" w:customStyle="1" w:styleId="15">
    <w:name w:val="font91"/>
    <w:basedOn w:val="6"/>
    <w:qFormat/>
    <w:uiPriority w:val="0"/>
    <w:rPr>
      <w:rFonts w:hint="default" w:ascii="Times New Roman" w:hAnsi="Times New Roman" w:cs="Times New Roman"/>
      <w:color w:val="000000"/>
      <w:sz w:val="28"/>
      <w:szCs w:val="28"/>
      <w:u w:val="none"/>
    </w:rPr>
  </w:style>
  <w:style w:type="character" w:customStyle="1" w:styleId="16">
    <w:name w:val="font51"/>
    <w:basedOn w:val="6"/>
    <w:qFormat/>
    <w:uiPriority w:val="0"/>
    <w:rPr>
      <w:rFonts w:hint="eastAsia" w:ascii="方正仿宋_GBK" w:hAnsi="方正仿宋_GBK" w:eastAsia="方正仿宋_GBK" w:cs="方正仿宋_GBK"/>
      <w:color w:val="000000"/>
      <w:sz w:val="28"/>
      <w:szCs w:val="28"/>
      <w:u w:val="none"/>
    </w:rPr>
  </w:style>
  <w:style w:type="character" w:customStyle="1" w:styleId="17">
    <w:name w:val="font21"/>
    <w:basedOn w:val="6"/>
    <w:qFormat/>
    <w:uiPriority w:val="0"/>
    <w:rPr>
      <w:rFonts w:hint="eastAsia" w:ascii="方正黑体_GBK" w:hAnsi="方正黑体_GBK" w:eastAsia="方正黑体_GBK" w:cs="方正黑体_GBK"/>
      <w:color w:val="000000"/>
      <w:sz w:val="28"/>
      <w:szCs w:val="28"/>
      <w:u w:val="none"/>
    </w:rPr>
  </w:style>
  <w:style w:type="character" w:customStyle="1" w:styleId="18">
    <w:name w:val="font141"/>
    <w:basedOn w:val="6"/>
    <w:qFormat/>
    <w:uiPriority w:val="0"/>
    <w:rPr>
      <w:rFonts w:hint="default" w:ascii="Times New Roman" w:hAnsi="Times New Roman" w:cs="Times New Roman"/>
      <w:color w:val="000000"/>
      <w:sz w:val="28"/>
      <w:szCs w:val="28"/>
      <w:u w:val="none"/>
    </w:rPr>
  </w:style>
  <w:style w:type="character" w:customStyle="1" w:styleId="19">
    <w:name w:val="font11"/>
    <w:basedOn w:val="6"/>
    <w:qFormat/>
    <w:uiPriority w:val="0"/>
    <w:rPr>
      <w:rFonts w:hint="eastAsia" w:ascii="方正仿宋_GBK" w:hAnsi="方正仿宋_GBK" w:eastAsia="方正仿宋_GBK" w:cs="方正仿宋_GBK"/>
      <w:color w:val="000000"/>
      <w:sz w:val="28"/>
      <w:szCs w:val="28"/>
      <w:u w:val="none"/>
    </w:rPr>
  </w:style>
  <w:style w:type="character" w:customStyle="1" w:styleId="20">
    <w:name w:val="font112"/>
    <w:basedOn w:val="6"/>
    <w:qFormat/>
    <w:uiPriority w:val="0"/>
    <w:rPr>
      <w:rFonts w:hint="eastAsia" w:ascii="方正黑体_GBK" w:hAnsi="方正黑体_GBK" w:eastAsia="方正黑体_GBK" w:cs="方正黑体_GBK"/>
      <w:color w:val="000000"/>
      <w:sz w:val="28"/>
      <w:szCs w:val="28"/>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2021-04-12T14:03:00Z</dcterms:created>
  <dc:creator>user</dc:creator>
  <cp:lastModifiedBy>jgsw</cp:lastModifiedBy>
  <cp:lastPrinted>2026-03-06T15:34:00Z</cp:lastPrinted>
  <dcterms:modified xsi:type="dcterms:W3CDTF">2026-03-24T08:43:52Z</dcterms:modified>
  <dc:title>关于印发《2025年度全省公共机构绿色低碳</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C82B63F21E7CFFFA06D4B7698EC498F5</vt:lpwstr>
  </property>
</Properties>
</file>